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39B1F" w14:textId="1E085C6E" w:rsidR="00DA147D" w:rsidRPr="007617B0" w:rsidRDefault="00DA147D" w:rsidP="00CA1A98">
      <w:pPr>
        <w:pStyle w:val="CoversheetStaticText"/>
        <w:rPr>
          <w:rFonts w:ascii="Aptos" w:hAnsi="Aptos"/>
          <w:b/>
          <w:sz w:val="28"/>
          <w:szCs w:val="28"/>
        </w:rPr>
      </w:pPr>
      <w:r w:rsidRPr="007617B0">
        <w:rPr>
          <w:rFonts w:ascii="Aptos" w:hAnsi="Aptos"/>
          <w:b/>
          <w:sz w:val="28"/>
          <w:szCs w:val="28"/>
        </w:rPr>
        <w:t>DATED</w:t>
      </w:r>
      <w:r w:rsidR="00F771B0" w:rsidRPr="007617B0">
        <w:rPr>
          <w:rFonts w:ascii="Aptos" w:hAnsi="Aptos"/>
          <w:b/>
          <w:sz w:val="28"/>
          <w:szCs w:val="28"/>
        </w:rPr>
        <w:tab/>
      </w:r>
      <w:r w:rsidR="00F771B0" w:rsidRPr="007617B0">
        <w:rPr>
          <w:rFonts w:ascii="Aptos" w:hAnsi="Aptos"/>
          <w:b/>
          <w:sz w:val="28"/>
          <w:szCs w:val="28"/>
          <w:u w:val="single"/>
        </w:rPr>
        <w:tab/>
      </w:r>
      <w:r w:rsidR="00F771B0" w:rsidRPr="007617B0">
        <w:rPr>
          <w:rFonts w:ascii="Aptos" w:hAnsi="Aptos"/>
          <w:b/>
          <w:sz w:val="28"/>
          <w:szCs w:val="28"/>
          <w:u w:val="single"/>
        </w:rPr>
        <w:tab/>
      </w:r>
      <w:r w:rsidR="00F771B0" w:rsidRPr="007617B0">
        <w:rPr>
          <w:rFonts w:ascii="Aptos" w:hAnsi="Aptos"/>
          <w:b/>
          <w:sz w:val="28"/>
          <w:szCs w:val="28"/>
          <w:u w:val="single"/>
        </w:rPr>
        <w:tab/>
      </w:r>
      <w:r w:rsidR="00F771B0" w:rsidRPr="007617B0">
        <w:rPr>
          <w:rFonts w:ascii="Aptos" w:hAnsi="Aptos"/>
          <w:b/>
          <w:sz w:val="28"/>
          <w:szCs w:val="28"/>
          <w:u w:val="single"/>
        </w:rPr>
        <w:tab/>
      </w:r>
      <w:r w:rsidR="00F771B0" w:rsidRPr="007617B0">
        <w:rPr>
          <w:rFonts w:ascii="Aptos" w:hAnsi="Aptos"/>
          <w:b/>
          <w:sz w:val="28"/>
          <w:szCs w:val="28"/>
        </w:rPr>
        <w:t>202</w:t>
      </w:r>
      <w:r w:rsidR="002A3572" w:rsidRPr="002A3572">
        <w:rPr>
          <w:rFonts w:ascii="Aptos" w:hAnsi="Aptos"/>
          <w:b/>
          <w:sz w:val="28"/>
          <w:szCs w:val="28"/>
          <w:highlight w:val="yellow"/>
        </w:rPr>
        <w:t>X</w:t>
      </w:r>
    </w:p>
    <w:p w14:paraId="7E32B140" w14:textId="2DB83963" w:rsidR="00DA147D" w:rsidRPr="007617B0" w:rsidRDefault="007617B0" w:rsidP="007617B0">
      <w:pPr>
        <w:pStyle w:val="CoversheetTitle"/>
        <w:rPr>
          <w:rFonts w:ascii="Aptos" w:hAnsi="Aptos"/>
        </w:rPr>
      </w:pPr>
      <w:r w:rsidRPr="007617B0">
        <w:rPr>
          <w:rFonts w:ascii="Aptos" w:hAnsi="Aptos"/>
        </w:rPr>
        <w:t xml:space="preserve">CATERING SERVICES FRAMEWORK </w:t>
      </w:r>
    </w:p>
    <w:p w14:paraId="337B6F02" w14:textId="28FCB608" w:rsidR="00DA147D" w:rsidRPr="007617B0" w:rsidRDefault="00916ABD" w:rsidP="00CA1A98">
      <w:pPr>
        <w:pStyle w:val="CoversheetTitle"/>
        <w:rPr>
          <w:rFonts w:ascii="Aptos" w:hAnsi="Aptos"/>
        </w:rPr>
      </w:pPr>
      <w:r w:rsidRPr="007617B0">
        <w:rPr>
          <w:rFonts w:ascii="Aptos" w:hAnsi="Aptos"/>
        </w:rPr>
        <w:t>INVITATION TO TENDER</w:t>
      </w:r>
      <w:r w:rsidR="00F514B9" w:rsidRPr="007617B0">
        <w:rPr>
          <w:rFonts w:ascii="Aptos" w:hAnsi="Aptos"/>
        </w:rPr>
        <w:t xml:space="preserve"> – </w:t>
      </w:r>
      <w:r w:rsidR="00710353" w:rsidRPr="007617B0">
        <w:rPr>
          <w:rFonts w:ascii="Aptos" w:hAnsi="Aptos"/>
        </w:rPr>
        <w:t>OPEN</w:t>
      </w:r>
      <w:r w:rsidR="00F771B0" w:rsidRPr="007617B0">
        <w:rPr>
          <w:rFonts w:ascii="Aptos" w:hAnsi="Aptos"/>
        </w:rPr>
        <w:t xml:space="preserve"> PROCEDURE</w:t>
      </w:r>
      <w:r w:rsidR="00C87854">
        <w:rPr>
          <w:rFonts w:ascii="Aptos" w:hAnsi="Aptos"/>
        </w:rPr>
        <w:t xml:space="preserve"> (LIGHT TOUCH)</w:t>
      </w:r>
    </w:p>
    <w:p w14:paraId="3C73CF00" w14:textId="21AEAC86" w:rsidR="00360D36" w:rsidRDefault="00360D36">
      <w:pPr>
        <w:spacing w:after="200" w:line="24" w:lineRule="auto"/>
        <w:rPr>
          <w:rFonts w:ascii="Aptos" w:eastAsia="Arial Unicode MS" w:hAnsi="Aptos" w:cs="Arial"/>
          <w:b/>
          <w:smallCaps/>
          <w:color w:val="000000"/>
          <w:sz w:val="28"/>
        </w:rPr>
      </w:pPr>
      <w:r>
        <w:rPr>
          <w:rFonts w:ascii="Aptos" w:hAnsi="Aptos"/>
        </w:rPr>
        <w:br w:type="page"/>
      </w:r>
    </w:p>
    <w:p w14:paraId="1FDBD3FE" w14:textId="77777777" w:rsidR="00DA147D" w:rsidRPr="007617B0" w:rsidRDefault="00DA147D" w:rsidP="00CA1A98">
      <w:pPr>
        <w:pStyle w:val="HeadingLevel2"/>
        <w:rPr>
          <w:rFonts w:ascii="Aptos" w:hAnsi="Aptos"/>
        </w:rPr>
      </w:pPr>
      <w:bookmarkStart w:id="0" w:name="_Toc208856183"/>
      <w:bookmarkStart w:id="1" w:name="_Toc208864810"/>
      <w:r w:rsidRPr="007617B0">
        <w:rPr>
          <w:rFonts w:ascii="Aptos" w:hAnsi="Aptos"/>
        </w:rPr>
        <w:lastRenderedPageBreak/>
        <w:t>CONTENTS</w:t>
      </w:r>
      <w:bookmarkEnd w:id="0"/>
      <w:bookmarkEnd w:id="1"/>
    </w:p>
    <w:p w14:paraId="4133F630" w14:textId="0B42E082" w:rsidR="00DA147D" w:rsidRDefault="00DA147D" w:rsidP="00CA1A98">
      <w:pPr>
        <w:pStyle w:val="HeadingLevel2"/>
        <w:rPr>
          <w:rFonts w:ascii="Aptos" w:hAnsi="Aptos"/>
        </w:rPr>
      </w:pPr>
      <w:bookmarkStart w:id="2" w:name="_Toc208856184"/>
      <w:bookmarkStart w:id="3" w:name="_Toc208864811"/>
      <w:r w:rsidRPr="007617B0">
        <w:rPr>
          <w:rFonts w:ascii="Aptos" w:hAnsi="Aptos"/>
        </w:rPr>
        <w:t>____________________________________________________________</w:t>
      </w:r>
      <w:bookmarkEnd w:id="2"/>
      <w:bookmarkEnd w:id="3"/>
    </w:p>
    <w:sdt>
      <w:sdtPr>
        <w:rPr>
          <w:rFonts w:asciiTheme="minorHAnsi" w:eastAsiaTheme="minorHAnsi" w:hAnsiTheme="minorHAnsi" w:cstheme="minorBidi"/>
          <w:color w:val="auto"/>
          <w:kern w:val="2"/>
          <w:sz w:val="22"/>
          <w:szCs w:val="22"/>
          <w:lang w:eastAsia="en-US"/>
          <w14:ligatures w14:val="standardContextual"/>
        </w:rPr>
        <w:id w:val="-848562964"/>
        <w:docPartObj>
          <w:docPartGallery w:val="Table of Contents"/>
          <w:docPartUnique/>
        </w:docPartObj>
      </w:sdtPr>
      <w:sdtEndPr>
        <w:rPr>
          <w:b/>
          <w:bCs/>
        </w:rPr>
      </w:sdtEndPr>
      <w:sdtContent>
        <w:p w14:paraId="0DEAF07F" w14:textId="35C282B8" w:rsidR="006C2654" w:rsidRDefault="00EF4ADD" w:rsidP="0043347C">
          <w:pPr>
            <w:pStyle w:val="TOCHeading"/>
            <w:rPr>
              <w:rFonts w:eastAsiaTheme="minorEastAsia"/>
              <w:noProof/>
              <w:sz w:val="24"/>
              <w:szCs w:val="24"/>
            </w:rPr>
          </w:pPr>
          <w:r>
            <w:fldChar w:fldCharType="begin"/>
          </w:r>
          <w:r>
            <w:instrText xml:space="preserve"> TOC \o "1-3" \h \z \u </w:instrText>
          </w:r>
          <w:r>
            <w:fldChar w:fldCharType="separate"/>
          </w:r>
        </w:p>
        <w:p w14:paraId="0918ED1D" w14:textId="2B5398EE" w:rsidR="006C2654" w:rsidRDefault="006C2654" w:rsidP="00241116">
          <w:pPr>
            <w:pStyle w:val="TOC1"/>
            <w:tabs>
              <w:tab w:val="left" w:pos="1440"/>
            </w:tabs>
            <w:spacing w:line="276" w:lineRule="auto"/>
            <w:rPr>
              <w:rFonts w:eastAsiaTheme="minorEastAsia"/>
              <w:sz w:val="24"/>
              <w:szCs w:val="24"/>
              <w:lang w:eastAsia="en-GB"/>
            </w:rPr>
          </w:pPr>
          <w:hyperlink w:anchor="_Toc208864814" w:history="1">
            <w:r w:rsidRPr="004432E6">
              <w:rPr>
                <w:rStyle w:val="Hyperlink"/>
                <w:rFonts w:ascii="Aptos" w:hAnsi="Aptos"/>
              </w:rPr>
              <w:t>1.</w:t>
            </w:r>
            <w:r>
              <w:rPr>
                <w:rFonts w:eastAsiaTheme="minorEastAsia"/>
                <w:sz w:val="24"/>
                <w:szCs w:val="24"/>
                <w:lang w:eastAsia="en-GB"/>
              </w:rPr>
              <w:tab/>
            </w:r>
            <w:r w:rsidRPr="004432E6">
              <w:rPr>
                <w:rStyle w:val="Hyperlink"/>
                <w:rFonts w:ascii="Aptos" w:hAnsi="Aptos"/>
              </w:rPr>
              <w:t>Introduction and background</w:t>
            </w:r>
            <w:r>
              <w:rPr>
                <w:webHidden/>
              </w:rPr>
              <w:tab/>
            </w:r>
            <w:r>
              <w:rPr>
                <w:webHidden/>
              </w:rPr>
              <w:fldChar w:fldCharType="begin"/>
            </w:r>
            <w:r>
              <w:rPr>
                <w:webHidden/>
              </w:rPr>
              <w:instrText xml:space="preserve"> PAGEREF _Toc208864814 \h </w:instrText>
            </w:r>
            <w:r>
              <w:rPr>
                <w:webHidden/>
              </w:rPr>
            </w:r>
            <w:r>
              <w:rPr>
                <w:webHidden/>
              </w:rPr>
              <w:fldChar w:fldCharType="separate"/>
            </w:r>
            <w:r w:rsidR="00241116">
              <w:rPr>
                <w:webHidden/>
              </w:rPr>
              <w:t>3</w:t>
            </w:r>
            <w:r>
              <w:rPr>
                <w:webHidden/>
              </w:rPr>
              <w:fldChar w:fldCharType="end"/>
            </w:r>
          </w:hyperlink>
        </w:p>
        <w:p w14:paraId="76963F3E" w14:textId="3352DEC8" w:rsidR="006C2654" w:rsidRDefault="006C2654" w:rsidP="00241116">
          <w:pPr>
            <w:pStyle w:val="TOC2"/>
            <w:spacing w:line="276" w:lineRule="auto"/>
            <w:ind w:hanging="720"/>
            <w:rPr>
              <w:rFonts w:eastAsiaTheme="minorEastAsia"/>
              <w:sz w:val="24"/>
              <w:szCs w:val="24"/>
              <w:lang w:eastAsia="en-GB"/>
            </w:rPr>
          </w:pPr>
          <w:hyperlink w:anchor="_Toc208864859" w:history="1">
            <w:r w:rsidRPr="004432E6">
              <w:rPr>
                <w:rStyle w:val="Hyperlink"/>
                <w:rFonts w:ascii="Aptos" w:hAnsi="Aptos"/>
                <w:bCs/>
              </w:rPr>
              <w:t>2.</w:t>
            </w:r>
            <w:r>
              <w:rPr>
                <w:rFonts w:eastAsiaTheme="minorEastAsia"/>
                <w:sz w:val="24"/>
                <w:szCs w:val="24"/>
                <w:lang w:eastAsia="en-GB"/>
              </w:rPr>
              <w:tab/>
            </w:r>
            <w:r w:rsidRPr="004432E6">
              <w:rPr>
                <w:rStyle w:val="Hyperlink"/>
                <w:rFonts w:ascii="Aptos" w:hAnsi="Aptos"/>
                <w:bCs/>
              </w:rPr>
              <w:t>Key dates</w:t>
            </w:r>
            <w:r>
              <w:rPr>
                <w:webHidden/>
              </w:rPr>
              <w:tab/>
            </w:r>
            <w:r>
              <w:rPr>
                <w:webHidden/>
              </w:rPr>
              <w:fldChar w:fldCharType="begin"/>
            </w:r>
            <w:r>
              <w:rPr>
                <w:webHidden/>
              </w:rPr>
              <w:instrText xml:space="preserve"> PAGEREF _Toc208864859 \h </w:instrText>
            </w:r>
            <w:r>
              <w:rPr>
                <w:webHidden/>
              </w:rPr>
            </w:r>
            <w:r>
              <w:rPr>
                <w:webHidden/>
              </w:rPr>
              <w:fldChar w:fldCharType="separate"/>
            </w:r>
            <w:r w:rsidR="00241116">
              <w:rPr>
                <w:webHidden/>
              </w:rPr>
              <w:t>9</w:t>
            </w:r>
            <w:r>
              <w:rPr>
                <w:webHidden/>
              </w:rPr>
              <w:fldChar w:fldCharType="end"/>
            </w:r>
          </w:hyperlink>
        </w:p>
        <w:p w14:paraId="2193711D" w14:textId="1E352405" w:rsidR="006C2654" w:rsidRDefault="006C2654" w:rsidP="00241116">
          <w:pPr>
            <w:pStyle w:val="TOC1"/>
            <w:tabs>
              <w:tab w:val="left" w:pos="1440"/>
            </w:tabs>
            <w:spacing w:line="276" w:lineRule="auto"/>
            <w:rPr>
              <w:rFonts w:eastAsiaTheme="minorEastAsia"/>
              <w:sz w:val="24"/>
              <w:szCs w:val="24"/>
              <w:lang w:eastAsia="en-GB"/>
            </w:rPr>
          </w:pPr>
          <w:hyperlink w:anchor="_Toc208864865" w:history="1">
            <w:r w:rsidRPr="004432E6">
              <w:rPr>
                <w:rStyle w:val="Hyperlink"/>
                <w:rFonts w:ascii="Aptos" w:hAnsi="Aptos"/>
              </w:rPr>
              <w:t>3.</w:t>
            </w:r>
            <w:r>
              <w:rPr>
                <w:rFonts w:eastAsiaTheme="minorEastAsia"/>
                <w:sz w:val="24"/>
                <w:szCs w:val="24"/>
                <w:lang w:eastAsia="en-GB"/>
              </w:rPr>
              <w:tab/>
            </w:r>
            <w:r w:rsidRPr="004432E6">
              <w:rPr>
                <w:rStyle w:val="Hyperlink"/>
                <w:rFonts w:ascii="Aptos" w:hAnsi="Aptos"/>
              </w:rPr>
              <w:t>Tender completion information</w:t>
            </w:r>
            <w:r>
              <w:rPr>
                <w:webHidden/>
              </w:rPr>
              <w:tab/>
            </w:r>
            <w:r>
              <w:rPr>
                <w:webHidden/>
              </w:rPr>
              <w:fldChar w:fldCharType="begin"/>
            </w:r>
            <w:r>
              <w:rPr>
                <w:webHidden/>
              </w:rPr>
              <w:instrText xml:space="preserve"> PAGEREF _Toc208864865 \h </w:instrText>
            </w:r>
            <w:r>
              <w:rPr>
                <w:webHidden/>
              </w:rPr>
            </w:r>
            <w:r>
              <w:rPr>
                <w:webHidden/>
              </w:rPr>
              <w:fldChar w:fldCharType="separate"/>
            </w:r>
            <w:r w:rsidR="00241116">
              <w:rPr>
                <w:webHidden/>
              </w:rPr>
              <w:t>10</w:t>
            </w:r>
            <w:r>
              <w:rPr>
                <w:webHidden/>
              </w:rPr>
              <w:fldChar w:fldCharType="end"/>
            </w:r>
          </w:hyperlink>
        </w:p>
        <w:p w14:paraId="0D1DA914" w14:textId="233961FC" w:rsidR="006C2654" w:rsidRDefault="006C2654" w:rsidP="00241116">
          <w:pPr>
            <w:pStyle w:val="TOC1"/>
            <w:tabs>
              <w:tab w:val="left" w:pos="1440"/>
            </w:tabs>
            <w:spacing w:line="276" w:lineRule="auto"/>
            <w:rPr>
              <w:rFonts w:eastAsiaTheme="minorEastAsia"/>
              <w:sz w:val="24"/>
              <w:szCs w:val="24"/>
              <w:lang w:eastAsia="en-GB"/>
            </w:rPr>
          </w:pPr>
          <w:hyperlink w:anchor="_Toc208864888" w:history="1">
            <w:r w:rsidRPr="004432E6">
              <w:rPr>
                <w:rStyle w:val="Hyperlink"/>
                <w:rFonts w:ascii="Aptos" w:hAnsi="Aptos"/>
              </w:rPr>
              <w:t>4.</w:t>
            </w:r>
            <w:r>
              <w:rPr>
                <w:rFonts w:eastAsiaTheme="minorEastAsia"/>
                <w:sz w:val="24"/>
                <w:szCs w:val="24"/>
                <w:lang w:eastAsia="en-GB"/>
              </w:rPr>
              <w:tab/>
            </w:r>
            <w:r w:rsidRPr="004432E6">
              <w:rPr>
                <w:rStyle w:val="Hyperlink"/>
                <w:rFonts w:ascii="Aptos" w:hAnsi="Aptos"/>
              </w:rPr>
              <w:t>Contract terms</w:t>
            </w:r>
            <w:r>
              <w:rPr>
                <w:webHidden/>
              </w:rPr>
              <w:tab/>
            </w:r>
            <w:r>
              <w:rPr>
                <w:webHidden/>
              </w:rPr>
              <w:fldChar w:fldCharType="begin"/>
            </w:r>
            <w:r>
              <w:rPr>
                <w:webHidden/>
              </w:rPr>
              <w:instrText xml:space="preserve"> PAGEREF _Toc208864888 \h </w:instrText>
            </w:r>
            <w:r>
              <w:rPr>
                <w:webHidden/>
              </w:rPr>
            </w:r>
            <w:r>
              <w:rPr>
                <w:webHidden/>
              </w:rPr>
              <w:fldChar w:fldCharType="separate"/>
            </w:r>
            <w:r w:rsidR="00241116">
              <w:rPr>
                <w:webHidden/>
              </w:rPr>
              <w:t>18</w:t>
            </w:r>
            <w:r>
              <w:rPr>
                <w:webHidden/>
              </w:rPr>
              <w:fldChar w:fldCharType="end"/>
            </w:r>
          </w:hyperlink>
        </w:p>
        <w:p w14:paraId="7C600B3C" w14:textId="48737160" w:rsidR="006C2654" w:rsidRDefault="006C2654" w:rsidP="00241116">
          <w:pPr>
            <w:pStyle w:val="TOC1"/>
            <w:tabs>
              <w:tab w:val="left" w:pos="1440"/>
            </w:tabs>
            <w:spacing w:line="276" w:lineRule="auto"/>
            <w:rPr>
              <w:rFonts w:eastAsiaTheme="minorEastAsia"/>
              <w:sz w:val="24"/>
              <w:szCs w:val="24"/>
              <w:lang w:eastAsia="en-GB"/>
            </w:rPr>
          </w:pPr>
          <w:hyperlink w:anchor="_Toc208864903" w:history="1">
            <w:r w:rsidRPr="004432E6">
              <w:rPr>
                <w:rStyle w:val="Hyperlink"/>
                <w:rFonts w:ascii="Aptos" w:hAnsi="Aptos"/>
              </w:rPr>
              <w:t>5.</w:t>
            </w:r>
            <w:r>
              <w:rPr>
                <w:rFonts w:eastAsiaTheme="minorEastAsia"/>
                <w:sz w:val="24"/>
                <w:szCs w:val="24"/>
                <w:lang w:eastAsia="en-GB"/>
              </w:rPr>
              <w:tab/>
            </w:r>
            <w:r w:rsidRPr="004432E6">
              <w:rPr>
                <w:rStyle w:val="Hyperlink"/>
                <w:rFonts w:ascii="Aptos" w:hAnsi="Aptos"/>
              </w:rPr>
              <w:t>Tender evaluation model</w:t>
            </w:r>
            <w:r>
              <w:rPr>
                <w:webHidden/>
              </w:rPr>
              <w:tab/>
            </w:r>
            <w:r>
              <w:rPr>
                <w:webHidden/>
              </w:rPr>
              <w:fldChar w:fldCharType="begin"/>
            </w:r>
            <w:r>
              <w:rPr>
                <w:webHidden/>
              </w:rPr>
              <w:instrText xml:space="preserve"> PAGEREF _Toc208864903 \h </w:instrText>
            </w:r>
            <w:r>
              <w:rPr>
                <w:webHidden/>
              </w:rPr>
            </w:r>
            <w:r>
              <w:rPr>
                <w:webHidden/>
              </w:rPr>
              <w:fldChar w:fldCharType="separate"/>
            </w:r>
            <w:r w:rsidR="00241116">
              <w:rPr>
                <w:webHidden/>
              </w:rPr>
              <w:t>21</w:t>
            </w:r>
            <w:r>
              <w:rPr>
                <w:webHidden/>
              </w:rPr>
              <w:fldChar w:fldCharType="end"/>
            </w:r>
          </w:hyperlink>
        </w:p>
        <w:p w14:paraId="4E6D6FC7" w14:textId="16E6ED36" w:rsidR="006C2654" w:rsidRDefault="006C2654" w:rsidP="00241116">
          <w:pPr>
            <w:pStyle w:val="TOC1"/>
            <w:tabs>
              <w:tab w:val="left" w:pos="1440"/>
            </w:tabs>
            <w:spacing w:line="276" w:lineRule="auto"/>
            <w:rPr>
              <w:rFonts w:eastAsiaTheme="minorEastAsia"/>
              <w:sz w:val="24"/>
              <w:szCs w:val="24"/>
              <w:lang w:eastAsia="en-GB"/>
            </w:rPr>
          </w:pPr>
          <w:hyperlink w:anchor="_Toc208864923" w:history="1">
            <w:r w:rsidRPr="004432E6">
              <w:rPr>
                <w:rStyle w:val="Hyperlink"/>
                <w:rFonts w:ascii="Aptos" w:hAnsi="Aptos"/>
              </w:rPr>
              <w:t>6.</w:t>
            </w:r>
            <w:r>
              <w:rPr>
                <w:rFonts w:eastAsiaTheme="minorEastAsia"/>
                <w:sz w:val="24"/>
                <w:szCs w:val="24"/>
                <w:lang w:eastAsia="en-GB"/>
              </w:rPr>
              <w:tab/>
            </w:r>
            <w:r w:rsidRPr="004432E6">
              <w:rPr>
                <w:rStyle w:val="Hyperlink"/>
                <w:rFonts w:ascii="Aptos" w:hAnsi="Aptos"/>
              </w:rPr>
              <w:t>TUPE</w:t>
            </w:r>
            <w:r>
              <w:rPr>
                <w:webHidden/>
              </w:rPr>
              <w:tab/>
            </w:r>
            <w:r>
              <w:rPr>
                <w:webHidden/>
              </w:rPr>
              <w:fldChar w:fldCharType="begin"/>
            </w:r>
            <w:r>
              <w:rPr>
                <w:webHidden/>
              </w:rPr>
              <w:instrText xml:space="preserve"> PAGEREF _Toc208864923 \h </w:instrText>
            </w:r>
            <w:r>
              <w:rPr>
                <w:webHidden/>
              </w:rPr>
            </w:r>
            <w:r>
              <w:rPr>
                <w:webHidden/>
              </w:rPr>
              <w:fldChar w:fldCharType="separate"/>
            </w:r>
            <w:r w:rsidR="00241116">
              <w:rPr>
                <w:webHidden/>
              </w:rPr>
              <w:t>27</w:t>
            </w:r>
            <w:r>
              <w:rPr>
                <w:webHidden/>
              </w:rPr>
              <w:fldChar w:fldCharType="end"/>
            </w:r>
          </w:hyperlink>
        </w:p>
        <w:p w14:paraId="538237B5" w14:textId="6B3192AC" w:rsidR="00EF4ADD" w:rsidRDefault="00EF4ADD">
          <w:r>
            <w:rPr>
              <w:b/>
              <w:bCs/>
            </w:rPr>
            <w:fldChar w:fldCharType="end"/>
          </w:r>
        </w:p>
      </w:sdtContent>
    </w:sdt>
    <w:p w14:paraId="210B7C5C" w14:textId="77777777" w:rsidR="008D42A4" w:rsidRPr="007617B0" w:rsidRDefault="00DA147D" w:rsidP="008D42A4">
      <w:pPr>
        <w:pStyle w:val="HeadingLevel2"/>
        <w:rPr>
          <w:rFonts w:ascii="Aptos" w:hAnsi="Aptos" w:cstheme="minorHAnsi"/>
          <w:sz w:val="24"/>
        </w:rPr>
      </w:pPr>
      <w:r w:rsidRPr="007617B0">
        <w:rPr>
          <w:rFonts w:ascii="Aptos" w:eastAsia="Arial" w:hAnsi="Aptos"/>
          <w:b w:val="0"/>
          <w:noProof/>
          <w:color w:val="auto"/>
          <w:sz w:val="22"/>
          <w:lang w:eastAsia="en-GB"/>
        </w:rPr>
        <w:fldChar w:fldCharType="begin"/>
      </w:r>
      <w:r w:rsidRPr="007617B0">
        <w:rPr>
          <w:rFonts w:ascii="Aptos" w:hAnsi="Aptos"/>
        </w:rPr>
        <w:instrText>TOC \t "Schedule Title Clause, 1, Schedule, 1, Part, 1, Part Title, 1" \h</w:instrText>
      </w:r>
      <w:r w:rsidRPr="007617B0">
        <w:rPr>
          <w:rFonts w:ascii="Aptos" w:eastAsia="Arial" w:hAnsi="Aptos"/>
          <w:b w:val="0"/>
          <w:noProof/>
          <w:color w:val="auto"/>
          <w:sz w:val="22"/>
          <w:lang w:eastAsia="en-GB"/>
        </w:rPr>
        <w:fldChar w:fldCharType="separate"/>
      </w:r>
      <w:r w:rsidR="008D42A4" w:rsidRPr="007617B0">
        <w:rPr>
          <w:rFonts w:ascii="Aptos" w:eastAsia="Arial" w:hAnsi="Aptos" w:cstheme="minorHAnsi"/>
          <w:b w:val="0"/>
          <w:noProof/>
          <w:color w:val="auto"/>
          <w:sz w:val="22"/>
          <w:lang w:eastAsia="en-GB"/>
        </w:rPr>
        <w:fldChar w:fldCharType="begin"/>
      </w:r>
      <w:r w:rsidR="008D42A4" w:rsidRPr="007617B0">
        <w:rPr>
          <w:rFonts w:ascii="Aptos" w:hAnsi="Aptos" w:cstheme="minorHAnsi"/>
        </w:rPr>
        <w:instrText>TOC \t "Schedule Title Clause, 1, Schedule, 1, Part, 1, Part Title, 1" \h</w:instrText>
      </w:r>
      <w:r w:rsidR="008D42A4" w:rsidRPr="007617B0">
        <w:rPr>
          <w:rFonts w:ascii="Aptos" w:eastAsia="Arial" w:hAnsi="Aptos" w:cstheme="minorHAnsi"/>
          <w:b w:val="0"/>
          <w:noProof/>
          <w:color w:val="auto"/>
          <w:sz w:val="22"/>
          <w:lang w:eastAsia="en-GB"/>
        </w:rPr>
        <w:fldChar w:fldCharType="separate"/>
      </w:r>
      <w:r w:rsidR="008D42A4" w:rsidRPr="007617B0">
        <w:rPr>
          <w:rFonts w:ascii="Aptos" w:hAnsi="Aptos" w:cstheme="minorHAnsi"/>
          <w:sz w:val="24"/>
        </w:rPr>
        <w:t xml:space="preserve"> </w:t>
      </w:r>
      <w:bookmarkStart w:id="4" w:name="_Toc208856186"/>
      <w:bookmarkStart w:id="5" w:name="_Toc208864812"/>
      <w:r w:rsidR="008D42A4" w:rsidRPr="007617B0">
        <w:rPr>
          <w:rFonts w:ascii="Aptos" w:hAnsi="Aptos" w:cstheme="minorHAnsi"/>
          <w:sz w:val="24"/>
        </w:rPr>
        <w:t>SCHEDULE</w:t>
      </w:r>
      <w:bookmarkEnd w:id="4"/>
      <w:bookmarkEnd w:id="5"/>
    </w:p>
    <w:p w14:paraId="50AE8FCA" w14:textId="54E1A5F9" w:rsidR="008D42A4" w:rsidRPr="007617B0" w:rsidRDefault="008D42A4" w:rsidP="008D42A4">
      <w:pPr>
        <w:pStyle w:val="TOC1"/>
        <w:tabs>
          <w:tab w:val="left" w:pos="2160"/>
        </w:tabs>
        <w:rPr>
          <w:rFonts w:ascii="Aptos" w:eastAsiaTheme="minorEastAsia" w:hAnsi="Aptos"/>
          <w:lang w:eastAsia="en-GB"/>
        </w:rPr>
      </w:pPr>
      <w:r w:rsidRPr="007617B0">
        <w:rPr>
          <w:rFonts w:ascii="Aptos" w:eastAsia="Arial" w:hAnsi="Aptos" w:cstheme="minorHAnsi"/>
          <w:lang w:eastAsia="en-GB"/>
        </w:rPr>
        <w:fldChar w:fldCharType="begin"/>
      </w:r>
      <w:r w:rsidRPr="007617B0">
        <w:rPr>
          <w:rFonts w:ascii="Aptos" w:hAnsi="Aptos" w:cstheme="minorHAnsi"/>
          <w:color w:val="000000"/>
        </w:rPr>
        <w:instrText>TOC \t "Schedule Title Clause, 1, Schedule, 1, Part, 1, Part Title, 1" \h</w:instrText>
      </w:r>
      <w:r w:rsidRPr="007617B0">
        <w:rPr>
          <w:rFonts w:ascii="Aptos" w:eastAsia="Arial" w:hAnsi="Aptos" w:cstheme="minorHAnsi"/>
          <w:lang w:eastAsia="en-GB"/>
        </w:rPr>
        <w:fldChar w:fldCharType="separate"/>
      </w:r>
      <w:hyperlink w:anchor="_Toc196402597" w:history="1">
        <w:r w:rsidRPr="007617B0">
          <w:rPr>
            <w:rStyle w:val="Hyperlink"/>
            <w:rFonts w:ascii="Aptos" w:hAnsi="Aptos" w:cstheme="minorHAnsi"/>
          </w:rPr>
          <w:t>Schedule 1</w:t>
        </w:r>
        <w:r w:rsidRPr="007617B0">
          <w:rPr>
            <w:rFonts w:ascii="Aptos" w:eastAsiaTheme="minorEastAsia" w:hAnsi="Aptos"/>
            <w:lang w:eastAsia="en-GB"/>
          </w:rPr>
          <w:tab/>
        </w:r>
        <w:r w:rsidRPr="007617B0">
          <w:rPr>
            <w:rStyle w:val="Hyperlink"/>
            <w:rFonts w:ascii="Aptos" w:hAnsi="Aptos" w:cstheme="minorHAnsi"/>
          </w:rPr>
          <w:t>Terms and Conditions</w:t>
        </w:r>
        <w:r w:rsidR="00A6184A">
          <w:rPr>
            <w:rStyle w:val="Hyperlink"/>
            <w:rFonts w:ascii="Aptos" w:hAnsi="Aptos" w:cstheme="minorHAnsi"/>
          </w:rPr>
          <w:t xml:space="preserve"> (Framework Agreement)</w:t>
        </w:r>
        <w:r w:rsidRPr="007617B0">
          <w:rPr>
            <w:rFonts w:ascii="Aptos" w:hAnsi="Aptos"/>
          </w:rPr>
          <w:tab/>
          <w:t>(attached)</w:t>
        </w:r>
      </w:hyperlink>
    </w:p>
    <w:p w14:paraId="53CF2554" w14:textId="77777777" w:rsidR="008D42A4" w:rsidRPr="007617B0" w:rsidRDefault="008D42A4" w:rsidP="008D42A4">
      <w:pPr>
        <w:pStyle w:val="TOC1"/>
        <w:tabs>
          <w:tab w:val="left" w:pos="2160"/>
        </w:tabs>
        <w:rPr>
          <w:rFonts w:ascii="Aptos" w:eastAsiaTheme="minorEastAsia" w:hAnsi="Aptos"/>
          <w:lang w:eastAsia="en-GB"/>
        </w:rPr>
      </w:pPr>
      <w:hyperlink w:anchor="_Toc196402598" w:history="1">
        <w:r w:rsidRPr="007617B0">
          <w:rPr>
            <w:rStyle w:val="Hyperlink"/>
            <w:rFonts w:ascii="Aptos" w:hAnsi="Aptos" w:cstheme="minorHAnsi"/>
          </w:rPr>
          <w:t>Schedule 2</w:t>
        </w:r>
        <w:r w:rsidRPr="007617B0">
          <w:rPr>
            <w:rFonts w:ascii="Aptos" w:eastAsiaTheme="minorEastAsia" w:hAnsi="Aptos"/>
            <w:lang w:eastAsia="en-GB"/>
          </w:rPr>
          <w:tab/>
        </w:r>
        <w:r w:rsidRPr="007617B0">
          <w:rPr>
            <w:rStyle w:val="Hyperlink"/>
            <w:rFonts w:ascii="Aptos" w:hAnsi="Aptos" w:cstheme="minorHAnsi"/>
          </w:rPr>
          <w:t xml:space="preserve">Statement of Requirements </w:t>
        </w:r>
        <w:r w:rsidRPr="007617B0">
          <w:rPr>
            <w:rFonts w:ascii="Aptos" w:hAnsi="Aptos"/>
          </w:rPr>
          <w:tab/>
          <w:t>(attached)</w:t>
        </w:r>
      </w:hyperlink>
    </w:p>
    <w:p w14:paraId="4CD7E566" w14:textId="5162A25D" w:rsidR="008D42A4" w:rsidRPr="007617B0" w:rsidRDefault="008D42A4" w:rsidP="008D42A4">
      <w:pPr>
        <w:pStyle w:val="TOC1"/>
        <w:tabs>
          <w:tab w:val="left" w:pos="2160"/>
        </w:tabs>
        <w:rPr>
          <w:rFonts w:ascii="Aptos" w:eastAsiaTheme="minorEastAsia" w:hAnsi="Aptos"/>
          <w:lang w:eastAsia="en-GB"/>
        </w:rPr>
      </w:pPr>
      <w:r>
        <w:fldChar w:fldCharType="begin"/>
      </w:r>
      <w:r>
        <w:instrText>HYPERLINK \l "_Toc196402599"</w:instrText>
      </w:r>
      <w:r>
        <w:fldChar w:fldCharType="separate"/>
      </w:r>
      <w:r w:rsidRPr="007617B0">
        <w:rPr>
          <w:rStyle w:val="Hyperlink"/>
          <w:rFonts w:ascii="Aptos" w:hAnsi="Aptos" w:cstheme="minorHAnsi"/>
        </w:rPr>
        <w:t>Schedule 3</w:t>
      </w:r>
      <w:r w:rsidRPr="007617B0">
        <w:rPr>
          <w:rFonts w:ascii="Aptos" w:eastAsiaTheme="minorEastAsia" w:hAnsi="Aptos"/>
          <w:lang w:eastAsia="en-GB"/>
        </w:rPr>
        <w:tab/>
      </w:r>
      <w:r w:rsidR="007C5C77" w:rsidRPr="007C5C77">
        <w:rPr>
          <w:rStyle w:val="Hyperlink"/>
          <w:rFonts w:ascii="Aptos" w:hAnsi="Aptos" w:cstheme="minorHAnsi"/>
        </w:rPr>
        <w:t>NOT USED</w:t>
      </w:r>
      <w:r w:rsidR="007C5C77" w:rsidRPr="007C5C77">
        <w:rPr>
          <w:rStyle w:val="Hyperlink"/>
          <w:rFonts w:ascii="Aptos" w:hAnsi="Aptos" w:cstheme="minorHAnsi"/>
        </w:rPr>
        <w:tab/>
      </w:r>
      <w:r>
        <w:fldChar w:fldCharType="end"/>
      </w:r>
    </w:p>
    <w:p w14:paraId="11886AC0" w14:textId="75BF3E95" w:rsidR="008D42A4" w:rsidRPr="007617B0" w:rsidRDefault="008D42A4" w:rsidP="008D42A4">
      <w:pPr>
        <w:pStyle w:val="TOC1"/>
        <w:tabs>
          <w:tab w:val="left" w:pos="2160"/>
        </w:tabs>
        <w:rPr>
          <w:rFonts w:ascii="Aptos" w:eastAsiaTheme="minorEastAsia" w:hAnsi="Aptos"/>
          <w:lang w:eastAsia="en-GB"/>
        </w:rPr>
      </w:pPr>
      <w:r>
        <w:fldChar w:fldCharType="begin"/>
      </w:r>
      <w:r>
        <w:instrText>HYPERLINK \l "_Toc196402600"</w:instrText>
      </w:r>
      <w:r>
        <w:fldChar w:fldCharType="separate"/>
      </w:r>
      <w:r w:rsidRPr="007617B0">
        <w:rPr>
          <w:rStyle w:val="Hyperlink"/>
          <w:rFonts w:ascii="Aptos" w:hAnsi="Aptos" w:cstheme="minorHAnsi"/>
        </w:rPr>
        <w:t>Schedule 4</w:t>
      </w:r>
      <w:r w:rsidRPr="007617B0">
        <w:rPr>
          <w:rFonts w:ascii="Aptos" w:eastAsiaTheme="minorEastAsia" w:hAnsi="Aptos"/>
          <w:lang w:eastAsia="en-GB"/>
        </w:rPr>
        <w:tab/>
      </w:r>
      <w:r w:rsidRPr="007617B0">
        <w:rPr>
          <w:rStyle w:val="Hyperlink"/>
          <w:rFonts w:ascii="Aptos" w:hAnsi="Aptos" w:cstheme="minorHAnsi"/>
        </w:rPr>
        <w:t xml:space="preserve">Site </w:t>
      </w:r>
      <w:r w:rsidR="00667F1D">
        <w:rPr>
          <w:rStyle w:val="Hyperlink"/>
          <w:rFonts w:ascii="Aptos" w:hAnsi="Aptos" w:cstheme="minorHAnsi"/>
        </w:rPr>
        <w:t>Map</w:t>
      </w:r>
      <w:r w:rsidRPr="007617B0">
        <w:rPr>
          <w:rFonts w:ascii="Aptos" w:hAnsi="Aptos"/>
        </w:rPr>
        <w:tab/>
        <w:t>(attached)</w:t>
      </w:r>
      <w:r>
        <w:fldChar w:fldCharType="end"/>
      </w:r>
    </w:p>
    <w:p w14:paraId="3974026B" w14:textId="77777777" w:rsidR="008D42A4" w:rsidRPr="007617B0" w:rsidRDefault="008D42A4" w:rsidP="008D42A4">
      <w:pPr>
        <w:pStyle w:val="TOC1"/>
        <w:tabs>
          <w:tab w:val="left" w:pos="2160"/>
        </w:tabs>
        <w:rPr>
          <w:rFonts w:ascii="Aptos" w:eastAsiaTheme="minorEastAsia" w:hAnsi="Aptos"/>
          <w:lang w:eastAsia="en-GB"/>
        </w:rPr>
      </w:pPr>
      <w:hyperlink w:anchor="_Toc196402601" w:history="1">
        <w:r w:rsidRPr="007617B0">
          <w:rPr>
            <w:rStyle w:val="Hyperlink"/>
            <w:rFonts w:ascii="Aptos" w:hAnsi="Aptos" w:cstheme="minorHAnsi"/>
          </w:rPr>
          <w:t>Schedule 5</w:t>
        </w:r>
        <w:r w:rsidRPr="007617B0">
          <w:rPr>
            <w:rFonts w:ascii="Aptos" w:eastAsiaTheme="minorEastAsia" w:hAnsi="Aptos"/>
            <w:lang w:eastAsia="en-GB"/>
          </w:rPr>
          <w:tab/>
        </w:r>
        <w:r w:rsidRPr="007617B0">
          <w:rPr>
            <w:rStyle w:val="Hyperlink"/>
            <w:rFonts w:ascii="Aptos" w:hAnsi="Aptos" w:cstheme="minorHAnsi"/>
          </w:rPr>
          <w:t>Asset list</w:t>
        </w:r>
        <w:r w:rsidRPr="007617B0">
          <w:rPr>
            <w:rFonts w:ascii="Aptos" w:hAnsi="Aptos"/>
          </w:rPr>
          <w:tab/>
          <w:t>(attached)</w:t>
        </w:r>
      </w:hyperlink>
    </w:p>
    <w:p w14:paraId="328DA554" w14:textId="77777777" w:rsidR="008D42A4" w:rsidRPr="007617B0" w:rsidRDefault="008D42A4" w:rsidP="008D42A4">
      <w:pPr>
        <w:pStyle w:val="TOC1"/>
        <w:tabs>
          <w:tab w:val="left" w:pos="2160"/>
        </w:tabs>
        <w:rPr>
          <w:rFonts w:ascii="Aptos" w:eastAsiaTheme="minorEastAsia" w:hAnsi="Aptos"/>
          <w:lang w:eastAsia="en-GB"/>
        </w:rPr>
      </w:pPr>
      <w:hyperlink w:anchor="_Toc196402602" w:history="1">
        <w:r w:rsidRPr="007617B0">
          <w:rPr>
            <w:rStyle w:val="Hyperlink"/>
            <w:rFonts w:ascii="Aptos" w:hAnsi="Aptos" w:cstheme="minorHAnsi"/>
          </w:rPr>
          <w:t>Schedule 6</w:t>
        </w:r>
        <w:r w:rsidRPr="007617B0">
          <w:rPr>
            <w:rFonts w:ascii="Aptos" w:eastAsiaTheme="minorEastAsia" w:hAnsi="Aptos"/>
            <w:lang w:eastAsia="en-GB"/>
          </w:rPr>
          <w:tab/>
        </w:r>
        <w:r w:rsidRPr="007617B0">
          <w:rPr>
            <w:rStyle w:val="Hyperlink"/>
            <w:rFonts w:ascii="Aptos" w:hAnsi="Aptos" w:cstheme="minorHAnsi"/>
          </w:rPr>
          <w:t>Contracts list</w:t>
        </w:r>
        <w:r w:rsidRPr="007617B0">
          <w:rPr>
            <w:rFonts w:ascii="Aptos" w:hAnsi="Aptos"/>
          </w:rPr>
          <w:tab/>
          <w:t>(attached)</w:t>
        </w:r>
      </w:hyperlink>
    </w:p>
    <w:p w14:paraId="7F0C54EA" w14:textId="77777777" w:rsidR="008D42A4" w:rsidRPr="007617B0" w:rsidRDefault="008D42A4" w:rsidP="008D42A4">
      <w:pPr>
        <w:pStyle w:val="TOC1"/>
        <w:tabs>
          <w:tab w:val="left" w:pos="2160"/>
        </w:tabs>
        <w:rPr>
          <w:rFonts w:ascii="Aptos" w:eastAsiaTheme="minorEastAsia" w:hAnsi="Aptos"/>
          <w:lang w:eastAsia="en-GB"/>
        </w:rPr>
      </w:pPr>
      <w:hyperlink w:anchor="_Toc196402603" w:history="1">
        <w:r w:rsidRPr="007617B0">
          <w:rPr>
            <w:rStyle w:val="Hyperlink"/>
            <w:rFonts w:ascii="Aptos" w:hAnsi="Aptos" w:cstheme="minorHAnsi"/>
          </w:rPr>
          <w:t>Schedule 7</w:t>
        </w:r>
        <w:r w:rsidRPr="007617B0">
          <w:rPr>
            <w:rFonts w:ascii="Aptos" w:eastAsiaTheme="minorEastAsia" w:hAnsi="Aptos"/>
            <w:lang w:eastAsia="en-GB"/>
          </w:rPr>
          <w:tab/>
        </w:r>
        <w:r w:rsidRPr="007617B0">
          <w:rPr>
            <w:rStyle w:val="Hyperlink"/>
            <w:rFonts w:ascii="Aptos" w:hAnsi="Aptos" w:cstheme="minorHAnsi"/>
          </w:rPr>
          <w:t>Provisional list of transferring employees</w:t>
        </w:r>
        <w:r w:rsidRPr="007617B0">
          <w:rPr>
            <w:rFonts w:ascii="Aptos" w:hAnsi="Aptos"/>
          </w:rPr>
          <w:tab/>
          <w:t>(attached)</w:t>
        </w:r>
      </w:hyperlink>
    </w:p>
    <w:p w14:paraId="17228734" w14:textId="77777777" w:rsidR="008D42A4" w:rsidRPr="007617B0" w:rsidRDefault="008D42A4" w:rsidP="008D42A4">
      <w:pPr>
        <w:pStyle w:val="TOC1"/>
        <w:tabs>
          <w:tab w:val="left" w:pos="2160"/>
        </w:tabs>
        <w:rPr>
          <w:rFonts w:ascii="Aptos" w:eastAsiaTheme="minorEastAsia" w:hAnsi="Aptos"/>
          <w:lang w:eastAsia="en-GB"/>
        </w:rPr>
      </w:pPr>
      <w:hyperlink w:anchor="_Toc196402604" w:history="1">
        <w:r w:rsidRPr="007617B0">
          <w:rPr>
            <w:rStyle w:val="Hyperlink"/>
            <w:rFonts w:ascii="Aptos" w:hAnsi="Aptos" w:cstheme="minorHAnsi"/>
          </w:rPr>
          <w:t>Schedule 8</w:t>
        </w:r>
        <w:r w:rsidRPr="007617B0">
          <w:rPr>
            <w:rFonts w:ascii="Aptos" w:eastAsiaTheme="minorEastAsia" w:hAnsi="Aptos"/>
            <w:lang w:eastAsia="en-GB"/>
          </w:rPr>
          <w:tab/>
        </w:r>
        <w:r w:rsidRPr="007617B0">
          <w:rPr>
            <w:rStyle w:val="Hyperlink"/>
            <w:rFonts w:ascii="Aptos" w:hAnsi="Aptos" w:cstheme="minorHAnsi"/>
          </w:rPr>
          <w:t>Applicable policies</w:t>
        </w:r>
        <w:r w:rsidRPr="007617B0">
          <w:rPr>
            <w:rFonts w:ascii="Aptos" w:hAnsi="Aptos"/>
          </w:rPr>
          <w:tab/>
          <w:t>(attached)</w:t>
        </w:r>
      </w:hyperlink>
    </w:p>
    <w:p w14:paraId="22A9827A" w14:textId="77777777" w:rsidR="008D42A4" w:rsidRPr="007617B0" w:rsidRDefault="008D42A4" w:rsidP="008D42A4">
      <w:pPr>
        <w:pStyle w:val="TOC1"/>
        <w:tabs>
          <w:tab w:val="left" w:pos="2160"/>
        </w:tabs>
        <w:rPr>
          <w:rFonts w:ascii="Aptos" w:eastAsiaTheme="minorEastAsia" w:hAnsi="Aptos"/>
          <w:lang w:eastAsia="en-GB"/>
        </w:rPr>
      </w:pPr>
      <w:hyperlink w:anchor="_Toc196402605" w:history="1">
        <w:r w:rsidRPr="007617B0">
          <w:rPr>
            <w:rStyle w:val="Hyperlink"/>
            <w:rFonts w:ascii="Aptos" w:hAnsi="Aptos" w:cstheme="minorHAnsi"/>
          </w:rPr>
          <w:t>Schedule 9</w:t>
        </w:r>
        <w:r w:rsidRPr="007617B0">
          <w:rPr>
            <w:rFonts w:ascii="Aptos" w:eastAsiaTheme="minorEastAsia" w:hAnsi="Aptos"/>
            <w:lang w:eastAsia="en-GB"/>
          </w:rPr>
          <w:tab/>
        </w:r>
        <w:r w:rsidRPr="007617B0">
          <w:rPr>
            <w:rStyle w:val="Hyperlink"/>
            <w:rFonts w:ascii="Aptos" w:hAnsi="Aptos" w:cstheme="minorHAnsi"/>
          </w:rPr>
          <w:t>Commercially sensitive information.</w:t>
        </w:r>
        <w:r w:rsidRPr="007617B0">
          <w:rPr>
            <w:rFonts w:ascii="Aptos" w:hAnsi="Aptos"/>
          </w:rPr>
          <w:tab/>
          <w:t>(attached)</w:t>
        </w:r>
      </w:hyperlink>
    </w:p>
    <w:p w14:paraId="5BFF38B8" w14:textId="7935B2FC" w:rsidR="008D42A4" w:rsidRPr="007617B0" w:rsidRDefault="008D42A4" w:rsidP="008D42A4">
      <w:pPr>
        <w:pStyle w:val="TOC1"/>
        <w:tabs>
          <w:tab w:val="left" w:pos="2246"/>
        </w:tabs>
        <w:rPr>
          <w:rFonts w:ascii="Aptos" w:eastAsiaTheme="minorEastAsia" w:hAnsi="Aptos"/>
          <w:lang w:eastAsia="en-GB"/>
        </w:rPr>
      </w:pPr>
      <w:hyperlink w:anchor="_Toc196402606" w:history="1">
        <w:r w:rsidRPr="007617B0">
          <w:rPr>
            <w:rStyle w:val="Hyperlink"/>
            <w:rFonts w:ascii="Aptos" w:hAnsi="Aptos" w:cstheme="minorHAnsi"/>
          </w:rPr>
          <w:t>Schedule 10</w:t>
        </w:r>
        <w:r w:rsidR="00FB71E4" w:rsidRPr="007617B0">
          <w:rPr>
            <w:rStyle w:val="Hyperlink"/>
            <w:rFonts w:ascii="Aptos" w:hAnsi="Aptos" w:cstheme="minorHAnsi"/>
          </w:rPr>
          <w:t xml:space="preserve">       </w:t>
        </w:r>
        <w:r w:rsidRPr="007617B0">
          <w:rPr>
            <w:rStyle w:val="Hyperlink"/>
            <w:rFonts w:ascii="Aptos" w:hAnsi="Aptos" w:cstheme="minorHAnsi"/>
          </w:rPr>
          <w:t>Deed of guarantee</w:t>
        </w:r>
        <w:r w:rsidRPr="007617B0">
          <w:rPr>
            <w:rFonts w:ascii="Aptos" w:hAnsi="Aptos"/>
          </w:rPr>
          <w:tab/>
          <w:t>(attached)</w:t>
        </w:r>
      </w:hyperlink>
    </w:p>
    <w:p w14:paraId="692FBFBC" w14:textId="1C206104" w:rsidR="008D42A4" w:rsidRPr="007617B0" w:rsidRDefault="008D42A4" w:rsidP="008D42A4">
      <w:pPr>
        <w:pStyle w:val="TOC1"/>
        <w:spacing w:before="0" w:after="0"/>
        <w:rPr>
          <w:rFonts w:ascii="Aptos" w:eastAsiaTheme="minorEastAsia" w:hAnsi="Aptos"/>
          <w:lang w:eastAsia="en-GB"/>
        </w:rPr>
      </w:pPr>
      <w:hyperlink w:anchor="_Toc196402607" w:history="1">
        <w:r w:rsidRPr="007617B0">
          <w:rPr>
            <w:rStyle w:val="Hyperlink"/>
            <w:rFonts w:ascii="Aptos" w:hAnsi="Aptos" w:cstheme="minorHAnsi"/>
          </w:rPr>
          <w:t xml:space="preserve">Schedule 11 </w:t>
        </w:r>
        <w:r w:rsidR="00FB71E4" w:rsidRPr="007617B0">
          <w:rPr>
            <w:rStyle w:val="Hyperlink"/>
            <w:rFonts w:ascii="Aptos" w:hAnsi="Aptos" w:cstheme="minorHAnsi"/>
          </w:rPr>
          <w:t xml:space="preserve">      </w:t>
        </w:r>
        <w:r w:rsidRPr="007617B0">
          <w:rPr>
            <w:rStyle w:val="Hyperlink"/>
            <w:rFonts w:ascii="Aptos" w:hAnsi="Aptos" w:cstheme="minorHAnsi"/>
          </w:rPr>
          <w:t>Certificate of Non-Collusion</w:t>
        </w:r>
        <w:r w:rsidRPr="007617B0">
          <w:rPr>
            <w:rFonts w:ascii="Aptos" w:hAnsi="Aptos"/>
          </w:rPr>
          <w:tab/>
          <w:t>(attached)</w:t>
        </w:r>
      </w:hyperlink>
    </w:p>
    <w:p w14:paraId="67DB87C8" w14:textId="4330633C" w:rsidR="008D42A4" w:rsidRPr="007617B0" w:rsidRDefault="008D42A4" w:rsidP="008D42A4">
      <w:pPr>
        <w:pStyle w:val="TOC1"/>
        <w:spacing w:before="0" w:after="0"/>
        <w:rPr>
          <w:rFonts w:ascii="Aptos" w:eastAsiaTheme="minorEastAsia" w:hAnsi="Aptos"/>
          <w:lang w:eastAsia="en-GB"/>
        </w:rPr>
      </w:pPr>
      <w:hyperlink w:anchor="_Toc196402608" w:history="1">
        <w:r w:rsidRPr="007617B0">
          <w:rPr>
            <w:rStyle w:val="Hyperlink"/>
            <w:rFonts w:ascii="Aptos" w:hAnsi="Aptos" w:cstheme="minorHAnsi"/>
          </w:rPr>
          <w:t xml:space="preserve">Schedule 12 </w:t>
        </w:r>
        <w:r w:rsidR="00FB71E4" w:rsidRPr="007617B0">
          <w:rPr>
            <w:rStyle w:val="Hyperlink"/>
            <w:rFonts w:ascii="Aptos" w:hAnsi="Aptos" w:cstheme="minorHAnsi"/>
          </w:rPr>
          <w:t xml:space="preserve">      </w:t>
        </w:r>
        <w:r w:rsidRPr="007617B0">
          <w:rPr>
            <w:rStyle w:val="Hyperlink"/>
            <w:rFonts w:ascii="Aptos" w:hAnsi="Aptos" w:cstheme="minorHAnsi"/>
          </w:rPr>
          <w:t>Form of Tender</w:t>
        </w:r>
        <w:r w:rsidR="000D2D29">
          <w:rPr>
            <w:rStyle w:val="Hyperlink"/>
            <w:rFonts w:ascii="Aptos" w:hAnsi="Aptos" w:cstheme="minorHAnsi"/>
          </w:rPr>
          <w:t xml:space="preserve"> and Declaration</w:t>
        </w:r>
        <w:r w:rsidRPr="007617B0">
          <w:rPr>
            <w:rFonts w:ascii="Aptos" w:hAnsi="Aptos"/>
          </w:rPr>
          <w:tab/>
          <w:t>(attached)</w:t>
        </w:r>
      </w:hyperlink>
    </w:p>
    <w:p w14:paraId="6BF4E07D" w14:textId="57005FCC" w:rsidR="008D42A4" w:rsidRPr="007617B0" w:rsidRDefault="008D42A4" w:rsidP="008D42A4">
      <w:pPr>
        <w:pStyle w:val="TOC1"/>
        <w:spacing w:before="0" w:after="0"/>
        <w:rPr>
          <w:rFonts w:ascii="Aptos" w:eastAsiaTheme="minorEastAsia" w:hAnsi="Aptos"/>
          <w:lang w:eastAsia="en-GB"/>
        </w:rPr>
      </w:pPr>
      <w:hyperlink w:anchor="_Toc196402609" w:history="1">
        <w:r w:rsidRPr="007617B0">
          <w:rPr>
            <w:rStyle w:val="Hyperlink"/>
            <w:rFonts w:ascii="Aptos" w:hAnsi="Aptos" w:cstheme="minorHAnsi"/>
          </w:rPr>
          <w:t xml:space="preserve">Schedule 13  </w:t>
        </w:r>
        <w:r w:rsidR="00FB71E4" w:rsidRPr="007617B0">
          <w:rPr>
            <w:rStyle w:val="Hyperlink"/>
            <w:rFonts w:ascii="Aptos" w:hAnsi="Aptos" w:cstheme="minorHAnsi"/>
          </w:rPr>
          <w:t xml:space="preserve">     </w:t>
        </w:r>
        <w:r w:rsidR="00161B34">
          <w:rPr>
            <w:rStyle w:val="Hyperlink"/>
            <w:rFonts w:ascii="Aptos" w:hAnsi="Aptos" w:cstheme="minorHAnsi"/>
          </w:rPr>
          <w:t>NOT USED</w:t>
        </w:r>
        <w:r w:rsidRPr="007617B0">
          <w:rPr>
            <w:rFonts w:ascii="Aptos" w:hAnsi="Aptos"/>
          </w:rPr>
          <w:tab/>
        </w:r>
      </w:hyperlink>
    </w:p>
    <w:p w14:paraId="2C551DA3" w14:textId="30A63AF0" w:rsidR="008D42A4" w:rsidRPr="007617B0" w:rsidRDefault="008D42A4" w:rsidP="008D42A4">
      <w:pPr>
        <w:pStyle w:val="TOC1"/>
        <w:spacing w:before="0" w:after="0"/>
        <w:rPr>
          <w:rFonts w:ascii="Aptos" w:hAnsi="Aptos"/>
        </w:rPr>
      </w:pPr>
      <w:hyperlink w:anchor="_Toc196402610" w:history="1">
        <w:r w:rsidRPr="007617B0">
          <w:rPr>
            <w:rStyle w:val="Hyperlink"/>
            <w:rFonts w:ascii="Aptos" w:hAnsi="Aptos" w:cstheme="minorHAnsi"/>
          </w:rPr>
          <w:t xml:space="preserve">Schedule 14  </w:t>
        </w:r>
        <w:r w:rsidR="00FB71E4" w:rsidRPr="007617B0">
          <w:rPr>
            <w:rStyle w:val="Hyperlink"/>
            <w:rFonts w:ascii="Aptos" w:hAnsi="Aptos" w:cstheme="minorHAnsi"/>
          </w:rPr>
          <w:t xml:space="preserve">     </w:t>
        </w:r>
        <w:r w:rsidRPr="007617B0">
          <w:rPr>
            <w:rStyle w:val="Hyperlink"/>
            <w:rFonts w:ascii="Aptos" w:hAnsi="Aptos" w:cstheme="minorHAnsi"/>
          </w:rPr>
          <w:t>Conflicts of Interest Declaration</w:t>
        </w:r>
        <w:r w:rsidRPr="007617B0">
          <w:rPr>
            <w:rFonts w:ascii="Aptos" w:hAnsi="Aptos"/>
          </w:rPr>
          <w:tab/>
          <w:t>(attached)</w:t>
        </w:r>
      </w:hyperlink>
    </w:p>
    <w:p w14:paraId="585EC45D" w14:textId="5711C123" w:rsidR="008D42A4" w:rsidRPr="007617B0" w:rsidRDefault="008D42A4" w:rsidP="008D42A4">
      <w:pPr>
        <w:spacing w:after="0"/>
        <w:rPr>
          <w:rFonts w:ascii="Aptos" w:hAnsi="Aptos"/>
        </w:rPr>
      </w:pPr>
      <w:r w:rsidRPr="007617B0">
        <w:rPr>
          <w:rFonts w:ascii="Aptos" w:hAnsi="Aptos"/>
        </w:rPr>
        <w:tab/>
        <w:t xml:space="preserve">Schedule 15  </w:t>
      </w:r>
      <w:r w:rsidR="00FB71E4" w:rsidRPr="007617B0">
        <w:rPr>
          <w:rFonts w:ascii="Aptos" w:hAnsi="Aptos"/>
        </w:rPr>
        <w:t xml:space="preserve">     </w:t>
      </w:r>
      <w:r w:rsidRPr="007617B0">
        <w:rPr>
          <w:rFonts w:ascii="Aptos" w:hAnsi="Aptos"/>
        </w:rPr>
        <w:t>Non-Disclosure Agreement</w:t>
      </w:r>
      <w:r w:rsidRPr="007617B0">
        <w:rPr>
          <w:rFonts w:ascii="Aptos" w:hAnsi="Aptos"/>
        </w:rPr>
        <w:tab/>
      </w:r>
      <w:r w:rsidRPr="007617B0">
        <w:rPr>
          <w:rFonts w:ascii="Aptos" w:hAnsi="Aptos"/>
        </w:rPr>
        <w:tab/>
      </w:r>
      <w:r w:rsidRPr="007617B0">
        <w:rPr>
          <w:rFonts w:ascii="Aptos" w:hAnsi="Aptos"/>
        </w:rPr>
        <w:tab/>
      </w:r>
      <w:r w:rsidRPr="007617B0">
        <w:rPr>
          <w:rFonts w:ascii="Aptos" w:hAnsi="Aptos"/>
        </w:rPr>
        <w:tab/>
      </w:r>
      <w:r w:rsidRPr="007617B0">
        <w:rPr>
          <w:rFonts w:ascii="Aptos" w:hAnsi="Aptos"/>
        </w:rPr>
        <w:tab/>
        <w:t>(attached)</w:t>
      </w:r>
    </w:p>
    <w:p w14:paraId="46A00EEF" w14:textId="77777777" w:rsidR="008D42A4" w:rsidRPr="007617B0" w:rsidRDefault="008D42A4" w:rsidP="008D42A4">
      <w:pPr>
        <w:spacing w:after="0"/>
        <w:rPr>
          <w:rFonts w:ascii="Aptos" w:hAnsi="Aptos"/>
        </w:rPr>
      </w:pPr>
    </w:p>
    <w:p w14:paraId="0569B6ED" w14:textId="77777777" w:rsidR="008D42A4" w:rsidRPr="007617B0" w:rsidRDefault="008D42A4" w:rsidP="008D42A4">
      <w:pPr>
        <w:pStyle w:val="HeadingLevel2"/>
        <w:rPr>
          <w:rFonts w:ascii="Aptos" w:hAnsi="Aptos" w:cstheme="minorHAnsi"/>
          <w:sz w:val="24"/>
        </w:rPr>
      </w:pPr>
      <w:bookmarkStart w:id="6" w:name="_Toc208856187"/>
      <w:bookmarkStart w:id="7" w:name="_Toc208864813"/>
      <w:r w:rsidRPr="007617B0">
        <w:rPr>
          <w:rFonts w:ascii="Aptos" w:hAnsi="Aptos" w:cstheme="minorHAnsi"/>
          <w:sz w:val="24"/>
        </w:rPr>
        <w:t>APPENDICES</w:t>
      </w:r>
      <w:bookmarkEnd w:id="6"/>
      <w:bookmarkEnd w:id="7"/>
    </w:p>
    <w:p w14:paraId="439B5C3E" w14:textId="77777777" w:rsidR="008D42A4" w:rsidRPr="007617B0" w:rsidRDefault="008D42A4" w:rsidP="008D42A4">
      <w:pPr>
        <w:spacing w:after="0"/>
        <w:rPr>
          <w:rFonts w:ascii="Aptos" w:hAnsi="Aptos"/>
        </w:rPr>
      </w:pPr>
    </w:p>
    <w:p w14:paraId="3A2E8E91" w14:textId="4BB2F693" w:rsidR="008D42A4" w:rsidRPr="007617B0" w:rsidRDefault="008D42A4" w:rsidP="008D42A4">
      <w:pPr>
        <w:spacing w:after="0"/>
        <w:rPr>
          <w:rFonts w:ascii="Aptos" w:hAnsi="Aptos"/>
        </w:rPr>
      </w:pPr>
      <w:r w:rsidRPr="007617B0">
        <w:rPr>
          <w:rFonts w:ascii="Aptos" w:hAnsi="Aptos"/>
        </w:rPr>
        <w:tab/>
        <w:t xml:space="preserve">Appendix A  </w:t>
      </w:r>
      <w:r w:rsidR="00FB71E4" w:rsidRPr="007617B0">
        <w:rPr>
          <w:rFonts w:ascii="Aptos" w:hAnsi="Aptos"/>
        </w:rPr>
        <w:t xml:space="preserve">     </w:t>
      </w:r>
      <w:r w:rsidR="007D1550">
        <w:rPr>
          <w:rFonts w:ascii="Aptos" w:hAnsi="Aptos"/>
        </w:rPr>
        <w:t>Procurement Specific Questionnaire</w:t>
      </w:r>
      <w:r w:rsidRPr="007617B0">
        <w:rPr>
          <w:rFonts w:ascii="Aptos" w:hAnsi="Aptos"/>
        </w:rPr>
        <w:tab/>
      </w:r>
      <w:r w:rsidRPr="007617B0">
        <w:rPr>
          <w:rFonts w:ascii="Aptos" w:hAnsi="Aptos"/>
        </w:rPr>
        <w:tab/>
      </w:r>
      <w:r w:rsidRPr="007617B0">
        <w:rPr>
          <w:rFonts w:ascii="Aptos" w:hAnsi="Aptos"/>
        </w:rPr>
        <w:tab/>
      </w:r>
      <w:r w:rsidRPr="007617B0">
        <w:rPr>
          <w:rFonts w:ascii="Aptos" w:hAnsi="Aptos"/>
        </w:rPr>
        <w:tab/>
        <w:t>(attached)</w:t>
      </w:r>
    </w:p>
    <w:p w14:paraId="27201490" w14:textId="464BADC5" w:rsidR="008D42A4" w:rsidRPr="007617B0" w:rsidRDefault="008D42A4" w:rsidP="008D42A4">
      <w:pPr>
        <w:spacing w:after="0"/>
        <w:rPr>
          <w:rFonts w:ascii="Aptos" w:hAnsi="Aptos"/>
        </w:rPr>
      </w:pPr>
      <w:r w:rsidRPr="007617B0">
        <w:rPr>
          <w:rFonts w:ascii="Aptos" w:hAnsi="Aptos"/>
        </w:rPr>
        <w:tab/>
        <w:t xml:space="preserve">Appendix B  </w:t>
      </w:r>
      <w:r w:rsidR="00FB71E4" w:rsidRPr="007617B0">
        <w:rPr>
          <w:rFonts w:ascii="Aptos" w:hAnsi="Aptos"/>
        </w:rPr>
        <w:t xml:space="preserve">     </w:t>
      </w:r>
      <w:r w:rsidR="00E95BE7">
        <w:rPr>
          <w:rFonts w:ascii="Aptos" w:hAnsi="Aptos"/>
        </w:rPr>
        <w:t>NOT USED</w:t>
      </w:r>
      <w:r w:rsidRPr="007617B0">
        <w:rPr>
          <w:rFonts w:ascii="Aptos" w:hAnsi="Aptos"/>
        </w:rPr>
        <w:tab/>
      </w:r>
      <w:r w:rsidRPr="007617B0">
        <w:rPr>
          <w:rFonts w:ascii="Aptos" w:hAnsi="Aptos"/>
        </w:rPr>
        <w:tab/>
      </w:r>
      <w:r w:rsidRPr="007617B0">
        <w:rPr>
          <w:rFonts w:ascii="Aptos" w:hAnsi="Aptos"/>
        </w:rPr>
        <w:tab/>
      </w:r>
      <w:r w:rsidR="00FB71E4" w:rsidRPr="007617B0">
        <w:rPr>
          <w:rFonts w:ascii="Aptos" w:hAnsi="Aptos"/>
        </w:rPr>
        <w:tab/>
      </w:r>
      <w:r w:rsidRPr="007617B0">
        <w:rPr>
          <w:rFonts w:ascii="Aptos" w:hAnsi="Aptos"/>
        </w:rPr>
        <w:tab/>
      </w:r>
      <w:r w:rsidRPr="007617B0">
        <w:rPr>
          <w:rFonts w:ascii="Aptos" w:hAnsi="Aptos"/>
        </w:rPr>
        <w:tab/>
      </w:r>
    </w:p>
    <w:p w14:paraId="14C1A185" w14:textId="501CA366" w:rsidR="008D42A4" w:rsidRPr="007617B0" w:rsidRDefault="008D42A4" w:rsidP="008D42A4">
      <w:pPr>
        <w:spacing w:after="0"/>
        <w:rPr>
          <w:rFonts w:ascii="Aptos" w:hAnsi="Aptos"/>
        </w:rPr>
      </w:pPr>
      <w:r w:rsidRPr="007617B0">
        <w:rPr>
          <w:rFonts w:ascii="Aptos" w:hAnsi="Aptos"/>
        </w:rPr>
        <w:tab/>
        <w:t xml:space="preserve">Appendix C </w:t>
      </w:r>
      <w:r w:rsidR="00FB71E4" w:rsidRPr="007617B0">
        <w:rPr>
          <w:rFonts w:ascii="Aptos" w:hAnsi="Aptos"/>
        </w:rPr>
        <w:t xml:space="preserve">      </w:t>
      </w:r>
      <w:r w:rsidRPr="007617B0">
        <w:rPr>
          <w:rFonts w:ascii="Aptos" w:hAnsi="Aptos"/>
        </w:rPr>
        <w:t>Award Questions</w:t>
      </w:r>
      <w:r w:rsidRPr="007617B0">
        <w:rPr>
          <w:rFonts w:ascii="Aptos" w:hAnsi="Aptos"/>
        </w:rPr>
        <w:tab/>
      </w:r>
      <w:r w:rsidRPr="007617B0">
        <w:rPr>
          <w:rFonts w:ascii="Aptos" w:hAnsi="Aptos"/>
        </w:rPr>
        <w:tab/>
      </w:r>
      <w:r w:rsidRPr="007617B0">
        <w:rPr>
          <w:rFonts w:ascii="Aptos" w:hAnsi="Aptos"/>
        </w:rPr>
        <w:tab/>
      </w:r>
      <w:r w:rsidRPr="007617B0">
        <w:rPr>
          <w:rFonts w:ascii="Aptos" w:hAnsi="Aptos"/>
        </w:rPr>
        <w:tab/>
      </w:r>
      <w:r w:rsidRPr="007617B0">
        <w:rPr>
          <w:rFonts w:ascii="Aptos" w:hAnsi="Aptos"/>
        </w:rPr>
        <w:tab/>
      </w:r>
      <w:r w:rsidRPr="007617B0">
        <w:rPr>
          <w:rFonts w:ascii="Aptos" w:hAnsi="Aptos"/>
        </w:rPr>
        <w:tab/>
        <w:t>(attached)</w:t>
      </w:r>
    </w:p>
    <w:p w14:paraId="635E308C" w14:textId="7519D9C1" w:rsidR="008D42A4" w:rsidRDefault="008D42A4" w:rsidP="008D42A4">
      <w:pPr>
        <w:spacing w:after="0"/>
        <w:rPr>
          <w:rFonts w:ascii="Aptos" w:hAnsi="Aptos"/>
        </w:rPr>
      </w:pPr>
      <w:r w:rsidRPr="007617B0">
        <w:rPr>
          <w:rFonts w:ascii="Aptos" w:hAnsi="Aptos"/>
        </w:rPr>
        <w:tab/>
        <w:t xml:space="preserve">Appendix </w:t>
      </w:r>
      <w:r w:rsidR="00FB71E4" w:rsidRPr="007617B0">
        <w:rPr>
          <w:rFonts w:ascii="Aptos" w:hAnsi="Aptos"/>
        </w:rPr>
        <w:t xml:space="preserve">D       </w:t>
      </w:r>
      <w:r w:rsidRPr="007617B0">
        <w:rPr>
          <w:rFonts w:ascii="Aptos" w:hAnsi="Aptos"/>
        </w:rPr>
        <w:t>Social Value Survey</w:t>
      </w:r>
      <w:r w:rsidRPr="007617B0">
        <w:rPr>
          <w:rFonts w:ascii="Aptos" w:hAnsi="Aptos"/>
        </w:rPr>
        <w:tab/>
      </w:r>
      <w:r w:rsidRPr="007617B0">
        <w:rPr>
          <w:rFonts w:ascii="Aptos" w:hAnsi="Aptos"/>
        </w:rPr>
        <w:tab/>
      </w:r>
      <w:r w:rsidRPr="007617B0">
        <w:rPr>
          <w:rFonts w:ascii="Aptos" w:hAnsi="Aptos"/>
        </w:rPr>
        <w:tab/>
      </w:r>
      <w:r w:rsidRPr="007617B0">
        <w:rPr>
          <w:rFonts w:ascii="Aptos" w:hAnsi="Aptos"/>
        </w:rPr>
        <w:tab/>
      </w:r>
      <w:r w:rsidRPr="007617B0">
        <w:rPr>
          <w:rFonts w:ascii="Aptos" w:hAnsi="Aptos"/>
        </w:rPr>
        <w:tab/>
      </w:r>
      <w:r w:rsidRPr="007617B0">
        <w:rPr>
          <w:rFonts w:ascii="Aptos" w:hAnsi="Aptos"/>
        </w:rPr>
        <w:tab/>
        <w:t>(attached)</w:t>
      </w:r>
    </w:p>
    <w:p w14:paraId="017B6DBA" w14:textId="1057C0D6" w:rsidR="00597C52" w:rsidRDefault="00597C52" w:rsidP="00F76588">
      <w:pPr>
        <w:spacing w:after="0"/>
        <w:rPr>
          <w:rFonts w:ascii="Aptos" w:hAnsi="Aptos"/>
        </w:rPr>
      </w:pPr>
      <w:r>
        <w:rPr>
          <w:rFonts w:ascii="Aptos" w:hAnsi="Aptos"/>
        </w:rPr>
        <w:tab/>
        <w:t>Appendix E</w:t>
      </w:r>
      <w:r w:rsidR="002E24BD">
        <w:rPr>
          <w:rFonts w:ascii="Aptos" w:hAnsi="Aptos"/>
        </w:rPr>
        <w:tab/>
        <w:t>Call-Off Contract Conditions of Contract</w:t>
      </w:r>
      <w:r w:rsidR="00865799">
        <w:rPr>
          <w:rFonts w:ascii="Aptos" w:hAnsi="Aptos"/>
        </w:rPr>
        <w:tab/>
      </w:r>
      <w:r w:rsidR="00865799">
        <w:rPr>
          <w:rFonts w:ascii="Aptos" w:hAnsi="Aptos"/>
        </w:rPr>
        <w:tab/>
      </w:r>
      <w:r w:rsidR="00865799">
        <w:rPr>
          <w:rFonts w:ascii="Aptos" w:hAnsi="Aptos"/>
        </w:rPr>
        <w:tab/>
      </w:r>
      <w:r w:rsidR="00865799" w:rsidRPr="007617B0">
        <w:rPr>
          <w:rFonts w:ascii="Aptos" w:hAnsi="Aptos"/>
        </w:rPr>
        <w:t>(attached)</w:t>
      </w:r>
    </w:p>
    <w:p w14:paraId="2AAD5B7E" w14:textId="4CFC6FF4" w:rsidR="00F76588" w:rsidRDefault="00865799" w:rsidP="008D42A4">
      <w:pPr>
        <w:spacing w:after="0"/>
        <w:rPr>
          <w:rFonts w:ascii="Aptos" w:hAnsi="Aptos"/>
        </w:rPr>
      </w:pPr>
      <w:r>
        <w:rPr>
          <w:rFonts w:ascii="Aptos" w:hAnsi="Aptos"/>
        </w:rPr>
        <w:tab/>
      </w:r>
      <w:r w:rsidR="00F76588">
        <w:rPr>
          <w:rFonts w:ascii="Aptos" w:hAnsi="Aptos"/>
        </w:rPr>
        <w:t>Appendix F</w:t>
      </w:r>
      <w:r w:rsidR="00F76588">
        <w:rPr>
          <w:rFonts w:ascii="Aptos" w:hAnsi="Aptos"/>
        </w:rPr>
        <w:tab/>
        <w:t>Trust Audit Scope</w:t>
      </w:r>
      <w:r w:rsidR="00F76588">
        <w:rPr>
          <w:rFonts w:ascii="Aptos" w:hAnsi="Aptos"/>
        </w:rPr>
        <w:tab/>
      </w:r>
      <w:r w:rsidR="00F76588">
        <w:rPr>
          <w:rFonts w:ascii="Aptos" w:hAnsi="Aptos"/>
        </w:rPr>
        <w:tab/>
      </w:r>
      <w:r w:rsidR="00F76588">
        <w:rPr>
          <w:rFonts w:ascii="Aptos" w:hAnsi="Aptos"/>
        </w:rPr>
        <w:tab/>
      </w:r>
      <w:r w:rsidR="00F76588">
        <w:rPr>
          <w:rFonts w:ascii="Aptos" w:hAnsi="Aptos"/>
        </w:rPr>
        <w:tab/>
      </w:r>
      <w:r w:rsidR="00F76588">
        <w:rPr>
          <w:rFonts w:ascii="Aptos" w:hAnsi="Aptos"/>
        </w:rPr>
        <w:tab/>
      </w:r>
      <w:r w:rsidR="00F76588">
        <w:rPr>
          <w:rFonts w:ascii="Aptos" w:hAnsi="Aptos"/>
        </w:rPr>
        <w:tab/>
        <w:t>(attached)</w:t>
      </w:r>
    </w:p>
    <w:p w14:paraId="4BBCCDE3" w14:textId="3955C683" w:rsidR="00865799" w:rsidRDefault="00865799" w:rsidP="0043347C">
      <w:pPr>
        <w:spacing w:after="0"/>
        <w:ind w:firstLine="720"/>
        <w:rPr>
          <w:rFonts w:ascii="Aptos" w:hAnsi="Aptos"/>
        </w:rPr>
      </w:pPr>
      <w:r>
        <w:rPr>
          <w:rFonts w:ascii="Aptos" w:hAnsi="Aptos"/>
        </w:rPr>
        <w:t xml:space="preserve">Appendix </w:t>
      </w:r>
      <w:r w:rsidR="004B1EAD">
        <w:rPr>
          <w:rFonts w:ascii="Aptos" w:hAnsi="Aptos"/>
        </w:rPr>
        <w:t>G</w:t>
      </w:r>
      <w:r w:rsidR="004B1EAD">
        <w:rPr>
          <w:rFonts w:ascii="Aptos" w:hAnsi="Aptos"/>
        </w:rPr>
        <w:tab/>
        <w:t>OAT Catering Policy 2023</w:t>
      </w:r>
      <w:r w:rsidR="004B1EAD">
        <w:rPr>
          <w:rFonts w:ascii="Aptos" w:hAnsi="Aptos"/>
        </w:rPr>
        <w:tab/>
      </w:r>
      <w:r w:rsidR="004B1EAD">
        <w:rPr>
          <w:rFonts w:ascii="Aptos" w:hAnsi="Aptos"/>
        </w:rPr>
        <w:tab/>
      </w:r>
      <w:r w:rsidR="004B1EAD">
        <w:rPr>
          <w:rFonts w:ascii="Aptos" w:hAnsi="Aptos"/>
        </w:rPr>
        <w:tab/>
      </w:r>
      <w:r w:rsidR="004B1EAD">
        <w:rPr>
          <w:rFonts w:ascii="Aptos" w:hAnsi="Aptos"/>
        </w:rPr>
        <w:tab/>
      </w:r>
      <w:r w:rsidR="004B1EAD">
        <w:rPr>
          <w:rFonts w:ascii="Aptos" w:hAnsi="Aptos"/>
        </w:rPr>
        <w:tab/>
      </w:r>
      <w:r w:rsidR="004B1EAD" w:rsidRPr="007617B0">
        <w:rPr>
          <w:rFonts w:ascii="Aptos" w:hAnsi="Aptos"/>
        </w:rPr>
        <w:t>(attached)</w:t>
      </w:r>
    </w:p>
    <w:p w14:paraId="0BBF1EFB" w14:textId="5B78E137" w:rsidR="004B1EAD" w:rsidRDefault="004B1EAD" w:rsidP="008D42A4">
      <w:pPr>
        <w:spacing w:after="0"/>
        <w:rPr>
          <w:rFonts w:ascii="Aptos" w:hAnsi="Aptos"/>
        </w:rPr>
      </w:pPr>
      <w:r>
        <w:rPr>
          <w:rFonts w:ascii="Aptos" w:hAnsi="Aptos"/>
        </w:rPr>
        <w:tab/>
        <w:t xml:space="preserve">Appendix </w:t>
      </w:r>
      <w:r w:rsidR="00B20344">
        <w:rPr>
          <w:rFonts w:ascii="Aptos" w:hAnsi="Aptos"/>
        </w:rPr>
        <w:t>H</w:t>
      </w:r>
      <w:r w:rsidR="00B20344">
        <w:rPr>
          <w:rFonts w:ascii="Aptos" w:hAnsi="Aptos"/>
        </w:rPr>
        <w:tab/>
        <w:t>OAT Food Specification</w:t>
      </w:r>
      <w:r w:rsidR="00B20344">
        <w:rPr>
          <w:rFonts w:ascii="Aptos" w:hAnsi="Aptos"/>
        </w:rPr>
        <w:tab/>
      </w:r>
      <w:r w:rsidR="00B20344">
        <w:rPr>
          <w:rFonts w:ascii="Aptos" w:hAnsi="Aptos"/>
        </w:rPr>
        <w:tab/>
      </w:r>
      <w:r w:rsidR="00B20344">
        <w:rPr>
          <w:rFonts w:ascii="Aptos" w:hAnsi="Aptos"/>
        </w:rPr>
        <w:tab/>
      </w:r>
      <w:r w:rsidR="00B20344">
        <w:rPr>
          <w:rFonts w:ascii="Aptos" w:hAnsi="Aptos"/>
        </w:rPr>
        <w:tab/>
      </w:r>
      <w:r w:rsidR="00B20344">
        <w:rPr>
          <w:rFonts w:ascii="Aptos" w:hAnsi="Aptos"/>
        </w:rPr>
        <w:tab/>
      </w:r>
      <w:r w:rsidR="00B20344" w:rsidRPr="007617B0">
        <w:rPr>
          <w:rFonts w:ascii="Aptos" w:hAnsi="Aptos"/>
        </w:rPr>
        <w:t>(attached)</w:t>
      </w:r>
    </w:p>
    <w:p w14:paraId="46BB9723" w14:textId="095D00B2" w:rsidR="00B20344" w:rsidRPr="007617B0" w:rsidRDefault="00B20344" w:rsidP="008D42A4">
      <w:pPr>
        <w:spacing w:after="0"/>
        <w:rPr>
          <w:rFonts w:ascii="Aptos" w:hAnsi="Aptos"/>
        </w:rPr>
      </w:pPr>
      <w:r>
        <w:rPr>
          <w:rFonts w:ascii="Aptos" w:hAnsi="Aptos"/>
        </w:rPr>
        <w:tab/>
        <w:t>Appendix I</w:t>
      </w:r>
      <w:r>
        <w:rPr>
          <w:rFonts w:ascii="Aptos" w:hAnsi="Aptos"/>
        </w:rPr>
        <w:tab/>
        <w:t>Portion Size Specification</w:t>
      </w:r>
      <w:r w:rsidR="000C6808">
        <w:rPr>
          <w:rFonts w:ascii="Aptos" w:hAnsi="Aptos"/>
        </w:rPr>
        <w:tab/>
      </w:r>
      <w:r w:rsidR="000C6808">
        <w:rPr>
          <w:rFonts w:ascii="Aptos" w:hAnsi="Aptos"/>
        </w:rPr>
        <w:tab/>
      </w:r>
      <w:r w:rsidR="000C6808">
        <w:rPr>
          <w:rFonts w:ascii="Aptos" w:hAnsi="Aptos"/>
        </w:rPr>
        <w:tab/>
      </w:r>
      <w:r w:rsidR="000C6808">
        <w:rPr>
          <w:rFonts w:ascii="Aptos" w:hAnsi="Aptos"/>
        </w:rPr>
        <w:tab/>
      </w:r>
      <w:r w:rsidR="000C6808">
        <w:rPr>
          <w:rFonts w:ascii="Aptos" w:hAnsi="Aptos"/>
        </w:rPr>
        <w:tab/>
      </w:r>
      <w:r w:rsidR="000C6808" w:rsidRPr="007617B0">
        <w:rPr>
          <w:rFonts w:ascii="Aptos" w:hAnsi="Aptos"/>
        </w:rPr>
        <w:t>(attached)</w:t>
      </w:r>
    </w:p>
    <w:p w14:paraId="5D5E5CD0" w14:textId="0AA0F084" w:rsidR="00DA147D" w:rsidRPr="007617B0" w:rsidRDefault="008D42A4" w:rsidP="007617B0">
      <w:pPr>
        <w:pStyle w:val="TOC1"/>
        <w:tabs>
          <w:tab w:val="left" w:pos="2160"/>
        </w:tabs>
        <w:rPr>
          <w:rFonts w:ascii="Aptos" w:hAnsi="Aptos"/>
        </w:rPr>
      </w:pPr>
      <w:r w:rsidRPr="007617B0">
        <w:rPr>
          <w:rFonts w:ascii="Aptos" w:hAnsi="Aptos" w:cstheme="minorHAnsi"/>
          <w:sz w:val="24"/>
        </w:rPr>
        <w:fldChar w:fldCharType="end"/>
      </w:r>
      <w:r w:rsidRPr="007617B0">
        <w:rPr>
          <w:rFonts w:ascii="Aptos" w:hAnsi="Aptos" w:cstheme="minorHAnsi"/>
          <w:sz w:val="24"/>
        </w:rPr>
        <w:fldChar w:fldCharType="end"/>
      </w:r>
      <w:r w:rsidR="00DA147D" w:rsidRPr="007617B0">
        <w:rPr>
          <w:rFonts w:ascii="Aptos" w:hAnsi="Aptos"/>
        </w:rPr>
        <w:fldChar w:fldCharType="end"/>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340"/>
      </w:tblGrid>
      <w:tr w:rsidR="00AF2805" w:rsidRPr="007617B0" w14:paraId="216CBBFD" w14:textId="77777777" w:rsidTr="00CA1A98">
        <w:trPr>
          <w:jc w:val="center"/>
        </w:trPr>
        <w:tc>
          <w:tcPr>
            <w:tcW w:w="5000" w:type="pct"/>
            <w:tcBorders>
              <w:top w:val="single" w:sz="8" w:space="0" w:color="000000"/>
              <w:left w:val="single" w:sz="8" w:space="0" w:color="000000"/>
              <w:bottom w:val="single" w:sz="8" w:space="0" w:color="000000"/>
              <w:right w:val="single" w:sz="8" w:space="0" w:color="000000"/>
            </w:tcBorders>
          </w:tcPr>
          <w:p w14:paraId="081B7BE5" w14:textId="71CDECD0" w:rsidR="00DA147D" w:rsidRPr="007617B0" w:rsidRDefault="00DA04F7" w:rsidP="00CA1A98">
            <w:pPr>
              <w:pStyle w:val="Paragraph"/>
              <w:jc w:val="center"/>
              <w:rPr>
                <w:rFonts w:ascii="Aptos" w:hAnsi="Aptos"/>
              </w:rPr>
            </w:pPr>
            <w:r w:rsidRPr="007617B0">
              <w:rPr>
                <w:rFonts w:ascii="Aptos" w:hAnsi="Aptos"/>
              </w:rPr>
              <w:lastRenderedPageBreak/>
              <w:t>ORMISTON ACADEMIES TRUST</w:t>
            </w:r>
          </w:p>
        </w:tc>
      </w:tr>
      <w:tr w:rsidR="00AF2805" w:rsidRPr="007617B0" w14:paraId="08EFC701" w14:textId="77777777" w:rsidTr="00CA1A98">
        <w:trPr>
          <w:jc w:val="center"/>
        </w:trPr>
        <w:tc>
          <w:tcPr>
            <w:tcW w:w="5000" w:type="pct"/>
            <w:tcBorders>
              <w:top w:val="single" w:sz="8" w:space="0" w:color="000000"/>
              <w:left w:val="single" w:sz="8" w:space="0" w:color="000000"/>
              <w:bottom w:val="single" w:sz="8" w:space="0" w:color="000000"/>
              <w:right w:val="single" w:sz="8" w:space="0" w:color="000000"/>
            </w:tcBorders>
          </w:tcPr>
          <w:p w14:paraId="63748A70" w14:textId="59DE9DAB" w:rsidR="00DA147D" w:rsidRPr="007617B0" w:rsidRDefault="00DA147D" w:rsidP="00CA1A98">
            <w:pPr>
              <w:pStyle w:val="Paragraph"/>
              <w:jc w:val="center"/>
              <w:rPr>
                <w:rFonts w:ascii="Aptos" w:hAnsi="Aptos"/>
              </w:rPr>
            </w:pPr>
            <w:r w:rsidRPr="007617B0">
              <w:rPr>
                <w:rFonts w:ascii="Aptos" w:hAnsi="Aptos"/>
              </w:rPr>
              <w:t xml:space="preserve">TENDER FOR: </w:t>
            </w:r>
            <w:r w:rsidR="007617B0">
              <w:rPr>
                <w:rFonts w:ascii="Aptos" w:hAnsi="Aptos"/>
              </w:rPr>
              <w:t>CATERING SERVICES FRAMEWORK</w:t>
            </w:r>
            <w:r w:rsidR="00947154">
              <w:rPr>
                <w:rFonts w:ascii="Aptos" w:hAnsi="Aptos"/>
              </w:rPr>
              <w:t xml:space="preserve"> (Ref 103549)</w:t>
            </w:r>
          </w:p>
        </w:tc>
      </w:tr>
      <w:tr w:rsidR="00AF2805" w:rsidRPr="007617B0" w14:paraId="58FA2C43" w14:textId="77777777" w:rsidTr="00CA1A98">
        <w:trPr>
          <w:jc w:val="center"/>
        </w:trPr>
        <w:tc>
          <w:tcPr>
            <w:tcW w:w="5000" w:type="pct"/>
            <w:tcBorders>
              <w:top w:val="single" w:sz="8" w:space="0" w:color="000000"/>
              <w:left w:val="single" w:sz="8" w:space="0" w:color="000000"/>
              <w:bottom w:val="single" w:sz="8" w:space="0" w:color="000000"/>
              <w:right w:val="single" w:sz="8" w:space="0" w:color="000000"/>
            </w:tcBorders>
          </w:tcPr>
          <w:p w14:paraId="71B21C72" w14:textId="3FE2498F" w:rsidR="00DA147D" w:rsidRPr="007617B0" w:rsidRDefault="00DA147D" w:rsidP="00CA1A98">
            <w:pPr>
              <w:pStyle w:val="Paragraph"/>
              <w:jc w:val="center"/>
              <w:rPr>
                <w:rFonts w:ascii="Aptos" w:hAnsi="Aptos"/>
              </w:rPr>
            </w:pPr>
            <w:r w:rsidRPr="007617B0">
              <w:rPr>
                <w:rFonts w:ascii="Aptos" w:hAnsi="Aptos"/>
              </w:rPr>
              <w:t>CONTRACT NOTICE REFERENCE NUMBER</w:t>
            </w:r>
            <w:r w:rsidR="00F771B0" w:rsidRPr="007617B0">
              <w:rPr>
                <w:rFonts w:ascii="Aptos" w:hAnsi="Aptos"/>
              </w:rPr>
              <w:t>:</w:t>
            </w:r>
            <w:r w:rsidR="007617B0">
              <w:rPr>
                <w:rFonts w:ascii="Aptos" w:hAnsi="Aptos"/>
              </w:rPr>
              <w:t xml:space="preserve"> </w:t>
            </w:r>
            <w:r w:rsidR="00947154" w:rsidRPr="00947154">
              <w:rPr>
                <w:rFonts w:ascii="Aptos" w:hAnsi="Aptos"/>
              </w:rPr>
              <w:t>2025/S 000-057924</w:t>
            </w:r>
          </w:p>
        </w:tc>
      </w:tr>
      <w:tr w:rsidR="00AF2805" w:rsidRPr="007617B0" w14:paraId="3B4794D5" w14:textId="77777777" w:rsidTr="00CA1A98">
        <w:trPr>
          <w:jc w:val="center"/>
        </w:trPr>
        <w:tc>
          <w:tcPr>
            <w:tcW w:w="5000" w:type="pct"/>
            <w:tcBorders>
              <w:top w:val="single" w:sz="8" w:space="0" w:color="000000"/>
              <w:left w:val="single" w:sz="8" w:space="0" w:color="000000"/>
              <w:bottom w:val="single" w:sz="8" w:space="0" w:color="000000"/>
              <w:right w:val="single" w:sz="8" w:space="0" w:color="000000"/>
            </w:tcBorders>
          </w:tcPr>
          <w:p w14:paraId="1080E115" w14:textId="2942A5C5" w:rsidR="00DA147D" w:rsidRPr="007617B0" w:rsidRDefault="00DA147D" w:rsidP="00CA1A98">
            <w:pPr>
              <w:pStyle w:val="Paragraph"/>
              <w:jc w:val="center"/>
              <w:rPr>
                <w:rFonts w:ascii="Aptos" w:hAnsi="Aptos"/>
              </w:rPr>
            </w:pPr>
            <w:r w:rsidRPr="007617B0">
              <w:rPr>
                <w:rFonts w:ascii="Aptos" w:hAnsi="Aptos"/>
              </w:rPr>
              <w:t>TENDER RETURN DATE AND TIME (</w:t>
            </w:r>
            <w:r w:rsidRPr="007617B0">
              <w:rPr>
                <w:rFonts w:ascii="Aptos" w:hAnsi="Aptos"/>
                <w:bCs/>
              </w:rPr>
              <w:t>DEADLINE</w:t>
            </w:r>
            <w:r w:rsidRPr="007617B0">
              <w:rPr>
                <w:rFonts w:ascii="Aptos" w:hAnsi="Aptos"/>
              </w:rPr>
              <w:t xml:space="preserve">): </w:t>
            </w:r>
            <w:r w:rsidR="00AB0E2F">
              <w:rPr>
                <w:rFonts w:ascii="Aptos" w:hAnsi="Aptos"/>
              </w:rPr>
              <w:t xml:space="preserve">29 OCTOBER </w:t>
            </w:r>
            <w:r w:rsidR="00AE5A4E">
              <w:rPr>
                <w:rFonts w:ascii="Aptos" w:hAnsi="Aptos"/>
              </w:rPr>
              <w:t>17:00</w:t>
            </w:r>
          </w:p>
        </w:tc>
      </w:tr>
    </w:tbl>
    <w:p w14:paraId="44257DAE" w14:textId="1D550F4B" w:rsidR="00DA147D" w:rsidRPr="007617B0" w:rsidRDefault="00DA147D" w:rsidP="0043347C">
      <w:pPr>
        <w:pStyle w:val="TitleClause"/>
        <w:numPr>
          <w:ilvl w:val="0"/>
          <w:numId w:val="66"/>
        </w:numPr>
        <w:rPr>
          <w:rFonts w:ascii="Aptos" w:hAnsi="Aptos"/>
        </w:rPr>
      </w:pPr>
      <w:bookmarkStart w:id="8" w:name="a1033551"/>
      <w:bookmarkStart w:id="9" w:name="_Toc192620506"/>
      <w:bookmarkStart w:id="10" w:name="_Toc208864814"/>
      <w:r w:rsidRPr="007617B0">
        <w:rPr>
          <w:rFonts w:ascii="Aptos" w:hAnsi="Aptos"/>
        </w:rPr>
        <w:t>Introduction and background</w:t>
      </w:r>
      <w:bookmarkEnd w:id="8"/>
      <w:bookmarkEnd w:id="9"/>
      <w:bookmarkEnd w:id="10"/>
    </w:p>
    <w:p w14:paraId="6D534EEE" w14:textId="06698D44" w:rsidR="00DA147D" w:rsidRPr="007617B0" w:rsidRDefault="00DA147D" w:rsidP="0043347C">
      <w:pPr>
        <w:pStyle w:val="Untitledsubclause1"/>
        <w:numPr>
          <w:ilvl w:val="1"/>
          <w:numId w:val="67"/>
        </w:numPr>
        <w:rPr>
          <w:rFonts w:ascii="Aptos" w:hAnsi="Aptos"/>
          <w:b/>
        </w:rPr>
      </w:pPr>
      <w:bookmarkStart w:id="11" w:name="a770563"/>
      <w:bookmarkStart w:id="12" w:name="_Toc208856189"/>
      <w:bookmarkStart w:id="13" w:name="_Toc208864815"/>
      <w:r w:rsidRPr="007617B0">
        <w:rPr>
          <w:rFonts w:ascii="Aptos" w:hAnsi="Aptos"/>
          <w:b/>
        </w:rPr>
        <w:t xml:space="preserve">Contents of the </w:t>
      </w:r>
      <w:bookmarkEnd w:id="11"/>
      <w:r w:rsidR="002241EA" w:rsidRPr="007617B0">
        <w:rPr>
          <w:rFonts w:ascii="Aptos" w:hAnsi="Aptos"/>
          <w:b/>
        </w:rPr>
        <w:t>I</w:t>
      </w:r>
      <w:r w:rsidR="00EC6226" w:rsidRPr="007617B0">
        <w:rPr>
          <w:rFonts w:ascii="Aptos" w:hAnsi="Aptos"/>
          <w:b/>
        </w:rPr>
        <w:t>nvitation to Tender</w:t>
      </w:r>
      <w:bookmarkEnd w:id="12"/>
      <w:bookmarkEnd w:id="13"/>
    </w:p>
    <w:p w14:paraId="7B5FA9C6" w14:textId="31543F80" w:rsidR="00945546" w:rsidRPr="007617B0" w:rsidRDefault="00DA147D" w:rsidP="00945546">
      <w:pPr>
        <w:pStyle w:val="Parasubclause1"/>
        <w:rPr>
          <w:rFonts w:ascii="Aptos" w:hAnsi="Aptos"/>
        </w:rPr>
      </w:pPr>
      <w:r w:rsidRPr="007617B0">
        <w:rPr>
          <w:rFonts w:ascii="Aptos" w:hAnsi="Aptos"/>
        </w:rPr>
        <w:t xml:space="preserve">This </w:t>
      </w:r>
      <w:r w:rsidR="00EC6226" w:rsidRPr="007617B0">
        <w:rPr>
          <w:rFonts w:ascii="Aptos" w:hAnsi="Aptos"/>
        </w:rPr>
        <w:t>Invitation to Ten</w:t>
      </w:r>
      <w:r w:rsidR="00710353" w:rsidRPr="007617B0">
        <w:rPr>
          <w:rFonts w:ascii="Aptos" w:hAnsi="Aptos"/>
        </w:rPr>
        <w:t>d</w:t>
      </w:r>
      <w:r w:rsidR="00EC6226" w:rsidRPr="007617B0">
        <w:rPr>
          <w:rFonts w:ascii="Aptos" w:hAnsi="Aptos"/>
        </w:rPr>
        <w:t xml:space="preserve">er </w:t>
      </w:r>
      <w:r w:rsidR="008A3329" w:rsidRPr="007617B0">
        <w:rPr>
          <w:rFonts w:ascii="Aptos" w:hAnsi="Aptos"/>
        </w:rPr>
        <w:t>(</w:t>
      </w:r>
      <w:r w:rsidR="002241EA" w:rsidRPr="007617B0">
        <w:rPr>
          <w:rFonts w:ascii="Aptos" w:hAnsi="Aptos"/>
          <w:b/>
          <w:bCs/>
        </w:rPr>
        <w:t>ITT</w:t>
      </w:r>
      <w:r w:rsidR="008A3329" w:rsidRPr="007617B0">
        <w:rPr>
          <w:rFonts w:ascii="Aptos" w:hAnsi="Aptos"/>
        </w:rPr>
        <w:t>)</w:t>
      </w:r>
      <w:r w:rsidRPr="007617B0">
        <w:rPr>
          <w:rFonts w:ascii="Aptos" w:hAnsi="Aptos"/>
        </w:rPr>
        <w:t xml:space="preserve"> </w:t>
      </w:r>
      <w:r w:rsidR="002D41E1">
        <w:rPr>
          <w:rFonts w:ascii="Aptos" w:hAnsi="Aptos"/>
        </w:rPr>
        <w:t xml:space="preserve">and its associated Appendices and Schedules </w:t>
      </w:r>
      <w:r w:rsidRPr="007617B0">
        <w:rPr>
          <w:rFonts w:ascii="Aptos" w:hAnsi="Aptos"/>
        </w:rPr>
        <w:t>comprises:</w:t>
      </w:r>
    </w:p>
    <w:p w14:paraId="3B5C6A8B" w14:textId="41854460" w:rsidR="00DA147D" w:rsidRPr="007617B0" w:rsidRDefault="00DA147D" w:rsidP="00CA1A98">
      <w:pPr>
        <w:pStyle w:val="subclause1Bullet1"/>
        <w:rPr>
          <w:rFonts w:ascii="Aptos" w:hAnsi="Aptos"/>
        </w:rPr>
      </w:pPr>
      <w:r w:rsidRPr="007617B0">
        <w:rPr>
          <w:rFonts w:ascii="Aptos" w:hAnsi="Aptos"/>
        </w:rPr>
        <w:t>Tender completion requirements</w:t>
      </w:r>
      <w:r w:rsidR="003C1488">
        <w:rPr>
          <w:rFonts w:ascii="Aptos" w:hAnsi="Aptos"/>
        </w:rPr>
        <w:t xml:space="preserve"> the</w:t>
      </w:r>
      <w:r w:rsidRPr="007617B0">
        <w:rPr>
          <w:rFonts w:ascii="Aptos" w:hAnsi="Aptos"/>
        </w:rPr>
        <w:t xml:space="preserve"> evaluation model, specification and </w:t>
      </w:r>
      <w:r w:rsidR="00A21FAE">
        <w:rPr>
          <w:rFonts w:ascii="Aptos" w:hAnsi="Aptos"/>
        </w:rPr>
        <w:t>schedules</w:t>
      </w:r>
      <w:r w:rsidRPr="007617B0">
        <w:rPr>
          <w:rFonts w:ascii="Aptos" w:hAnsi="Aptos"/>
        </w:rPr>
        <w:t>.</w:t>
      </w:r>
    </w:p>
    <w:p w14:paraId="63702E76" w14:textId="2FFECA29" w:rsidR="00DA147D" w:rsidRPr="00DE1D32" w:rsidRDefault="00945546" w:rsidP="00CA1A98">
      <w:pPr>
        <w:pStyle w:val="subclause1Bullet1"/>
        <w:rPr>
          <w:rFonts w:ascii="Aptos" w:hAnsi="Aptos"/>
        </w:rPr>
      </w:pPr>
      <w:r w:rsidRPr="00DE1D32">
        <w:rPr>
          <w:rFonts w:ascii="Aptos" w:hAnsi="Aptos"/>
        </w:rPr>
        <w:t>Terms and Conditions</w:t>
      </w:r>
      <w:r w:rsidR="00DA147D" w:rsidRPr="00DE1D32">
        <w:rPr>
          <w:rFonts w:ascii="Aptos" w:hAnsi="Aptos"/>
        </w:rPr>
        <w:t xml:space="preserve"> </w:t>
      </w:r>
      <w:r w:rsidR="007617B0" w:rsidRPr="00DE1D32">
        <w:rPr>
          <w:rFonts w:ascii="Aptos" w:hAnsi="Aptos"/>
        </w:rPr>
        <w:t>relating to the Framework</w:t>
      </w:r>
      <w:r w:rsidR="00DA147D" w:rsidRPr="00DE1D32">
        <w:rPr>
          <w:rFonts w:ascii="Aptos" w:hAnsi="Aptos"/>
        </w:rPr>
        <w:t xml:space="preserve"> </w:t>
      </w:r>
      <w:r w:rsidR="00C50374">
        <w:rPr>
          <w:rFonts w:ascii="Aptos" w:hAnsi="Aptos"/>
        </w:rPr>
        <w:t xml:space="preserve">(Framework Agreement) </w:t>
      </w:r>
      <w:r w:rsidR="00DA147D" w:rsidRPr="00DE1D32">
        <w:rPr>
          <w:rFonts w:ascii="Aptos" w:hAnsi="Aptos"/>
        </w:rPr>
        <w:t>and schedules.</w:t>
      </w:r>
    </w:p>
    <w:p w14:paraId="5091F375" w14:textId="618266B9" w:rsidR="007617B0" w:rsidRPr="00DE1D32" w:rsidRDefault="007617B0" w:rsidP="00CA1A98">
      <w:pPr>
        <w:pStyle w:val="subclause1Bullet1"/>
        <w:rPr>
          <w:rFonts w:ascii="Aptos" w:hAnsi="Aptos"/>
        </w:rPr>
      </w:pPr>
      <w:r w:rsidRPr="00DE1D32">
        <w:rPr>
          <w:rFonts w:ascii="Aptos" w:hAnsi="Aptos"/>
        </w:rPr>
        <w:t xml:space="preserve">Model Mini-Competition Tender requirements, associated schedules and Terms and Conditions </w:t>
      </w:r>
    </w:p>
    <w:p w14:paraId="62210946" w14:textId="2B7246C1" w:rsidR="00945546" w:rsidRPr="00DE1D32" w:rsidRDefault="007617B0" w:rsidP="00CA1A98">
      <w:pPr>
        <w:pStyle w:val="subclause1Bullet1"/>
        <w:rPr>
          <w:rFonts w:ascii="Aptos" w:hAnsi="Aptos"/>
        </w:rPr>
      </w:pPr>
      <w:r w:rsidRPr="00DE1D32">
        <w:rPr>
          <w:rFonts w:ascii="Aptos" w:hAnsi="Aptos"/>
        </w:rPr>
        <w:t xml:space="preserve">Procurement Specific Questionnaire - </w:t>
      </w:r>
      <w:r w:rsidR="00945546" w:rsidRPr="00DE1D32">
        <w:rPr>
          <w:rFonts w:ascii="Aptos" w:hAnsi="Aptos"/>
        </w:rPr>
        <w:t>PSQ</w:t>
      </w:r>
    </w:p>
    <w:p w14:paraId="61B34825" w14:textId="60B26CEF" w:rsidR="00DA147D" w:rsidRPr="00DE1D32" w:rsidRDefault="00DA147D" w:rsidP="00CA1A98">
      <w:pPr>
        <w:pStyle w:val="subclause1Bullet1"/>
        <w:rPr>
          <w:rFonts w:ascii="Aptos" w:hAnsi="Aptos"/>
        </w:rPr>
      </w:pPr>
      <w:r w:rsidRPr="00DE1D32">
        <w:rPr>
          <w:rFonts w:ascii="Aptos" w:hAnsi="Aptos"/>
        </w:rPr>
        <w:t>Technical and commercial questions.</w:t>
      </w:r>
    </w:p>
    <w:p w14:paraId="35E3A722" w14:textId="59096E6D" w:rsidR="00DA147D" w:rsidRPr="007617B0" w:rsidRDefault="00DA147D" w:rsidP="0043347C">
      <w:pPr>
        <w:pStyle w:val="Untitledsubclause1"/>
        <w:numPr>
          <w:ilvl w:val="1"/>
          <w:numId w:val="67"/>
        </w:numPr>
        <w:rPr>
          <w:rFonts w:ascii="Aptos" w:hAnsi="Aptos"/>
          <w:b/>
        </w:rPr>
      </w:pPr>
      <w:bookmarkStart w:id="14" w:name="a293949"/>
      <w:bookmarkStart w:id="15" w:name="_Toc208856190"/>
      <w:bookmarkStart w:id="16" w:name="_Toc208864816"/>
      <w:r w:rsidRPr="007617B0">
        <w:rPr>
          <w:rFonts w:ascii="Aptos" w:hAnsi="Aptos"/>
          <w:b/>
        </w:rPr>
        <w:t xml:space="preserve">Introduction to </w:t>
      </w:r>
      <w:bookmarkEnd w:id="14"/>
      <w:r w:rsidR="00DA04F7" w:rsidRPr="007617B0">
        <w:rPr>
          <w:rFonts w:ascii="Aptos" w:hAnsi="Aptos"/>
          <w:b/>
        </w:rPr>
        <w:t>OAT</w:t>
      </w:r>
      <w:bookmarkEnd w:id="15"/>
      <w:bookmarkEnd w:id="16"/>
    </w:p>
    <w:p w14:paraId="196ED300" w14:textId="77777777" w:rsidR="0048247B" w:rsidRPr="0048247B" w:rsidRDefault="0048247B" w:rsidP="004347A7">
      <w:pPr>
        <w:pStyle w:val="ListParagraph"/>
        <w:numPr>
          <w:ilvl w:val="0"/>
          <w:numId w:val="50"/>
        </w:numPr>
        <w:spacing w:before="240" w:line="300" w:lineRule="atLeast"/>
        <w:contextualSpacing w:val="0"/>
        <w:jc w:val="both"/>
        <w:rPr>
          <w:rFonts w:ascii="Aptos" w:eastAsia="Arial Unicode MS" w:hAnsi="Aptos" w:cstheme="minorHAnsi"/>
          <w:vanish/>
        </w:rPr>
      </w:pPr>
    </w:p>
    <w:p w14:paraId="0A888FEF" w14:textId="77777777" w:rsidR="0048247B" w:rsidRPr="0048247B" w:rsidRDefault="0048247B" w:rsidP="004347A7">
      <w:pPr>
        <w:pStyle w:val="ListParagraph"/>
        <w:numPr>
          <w:ilvl w:val="1"/>
          <w:numId w:val="50"/>
        </w:numPr>
        <w:spacing w:before="240" w:line="300" w:lineRule="atLeast"/>
        <w:contextualSpacing w:val="0"/>
        <w:jc w:val="both"/>
        <w:rPr>
          <w:rFonts w:ascii="Aptos" w:eastAsia="Arial Unicode MS" w:hAnsi="Aptos" w:cstheme="minorHAnsi"/>
          <w:vanish/>
        </w:rPr>
      </w:pPr>
    </w:p>
    <w:p w14:paraId="75414BFB" w14:textId="77777777" w:rsidR="0048247B" w:rsidRPr="0048247B" w:rsidRDefault="0048247B" w:rsidP="004347A7">
      <w:pPr>
        <w:pStyle w:val="ListParagraph"/>
        <w:numPr>
          <w:ilvl w:val="1"/>
          <w:numId w:val="50"/>
        </w:numPr>
        <w:spacing w:before="240" w:line="300" w:lineRule="atLeast"/>
        <w:contextualSpacing w:val="0"/>
        <w:jc w:val="both"/>
        <w:rPr>
          <w:rFonts w:ascii="Aptos" w:eastAsia="Arial Unicode MS" w:hAnsi="Aptos" w:cstheme="minorHAnsi"/>
          <w:vanish/>
        </w:rPr>
      </w:pPr>
    </w:p>
    <w:p w14:paraId="798F8835" w14:textId="04A3C18F" w:rsidR="00DA147D" w:rsidRPr="0048247B" w:rsidRDefault="00DA04F7" w:rsidP="004347A7">
      <w:pPr>
        <w:pStyle w:val="Parasubclause1"/>
        <w:numPr>
          <w:ilvl w:val="2"/>
          <w:numId w:val="50"/>
        </w:numPr>
        <w:ind w:left="1350" w:hanging="630"/>
        <w:rPr>
          <w:rFonts w:ascii="Aptos" w:hAnsi="Aptos" w:cstheme="minorHAnsi"/>
        </w:rPr>
      </w:pPr>
      <w:r w:rsidRPr="0048247B">
        <w:rPr>
          <w:rFonts w:ascii="Aptos" w:hAnsi="Aptos" w:cstheme="minorHAnsi"/>
        </w:rPr>
        <w:t>OAT</w:t>
      </w:r>
      <w:r w:rsidR="00DA147D" w:rsidRPr="0048247B">
        <w:rPr>
          <w:rFonts w:ascii="Aptos" w:hAnsi="Aptos" w:cstheme="minorHAnsi"/>
        </w:rPr>
        <w:t xml:space="preserve"> is conducting the procurement using </w:t>
      </w:r>
      <w:r w:rsidR="00116432">
        <w:rPr>
          <w:rFonts w:ascii="Aptos" w:hAnsi="Aptos" w:cstheme="minorHAnsi"/>
        </w:rPr>
        <w:t>a ‘</w:t>
      </w:r>
      <w:proofErr w:type="gramStart"/>
      <w:r w:rsidR="00116432">
        <w:rPr>
          <w:rFonts w:ascii="Aptos" w:hAnsi="Aptos" w:cstheme="minorHAnsi"/>
        </w:rPr>
        <w:t>single-stage</w:t>
      </w:r>
      <w:proofErr w:type="gramEnd"/>
      <w:r w:rsidR="00116432">
        <w:rPr>
          <w:rFonts w:ascii="Aptos" w:hAnsi="Aptos" w:cstheme="minorHAnsi"/>
        </w:rPr>
        <w:t>’</w:t>
      </w:r>
      <w:r w:rsidR="00DA147D" w:rsidRPr="0048247B">
        <w:rPr>
          <w:rFonts w:ascii="Aptos" w:hAnsi="Aptos" w:cstheme="minorHAnsi"/>
        </w:rPr>
        <w:t xml:space="preserve"> </w:t>
      </w:r>
      <w:r w:rsidR="00710353" w:rsidRPr="0048247B">
        <w:rPr>
          <w:rFonts w:ascii="Aptos" w:hAnsi="Aptos" w:cstheme="minorHAnsi"/>
        </w:rPr>
        <w:t>open</w:t>
      </w:r>
      <w:r w:rsidR="00F771B0" w:rsidRPr="0048247B">
        <w:rPr>
          <w:rFonts w:ascii="Aptos" w:hAnsi="Aptos" w:cstheme="minorHAnsi"/>
        </w:rPr>
        <w:t xml:space="preserve"> procedure </w:t>
      </w:r>
      <w:r w:rsidR="00DA147D" w:rsidRPr="0048247B">
        <w:rPr>
          <w:rFonts w:ascii="Aptos" w:hAnsi="Aptos" w:cstheme="minorHAnsi"/>
        </w:rPr>
        <w:t xml:space="preserve">in accordance with the requirements of </w:t>
      </w:r>
      <w:r w:rsidR="0052640A" w:rsidRPr="0048247B">
        <w:rPr>
          <w:rFonts w:ascii="Aptos" w:hAnsi="Aptos" w:cstheme="minorHAnsi"/>
        </w:rPr>
        <w:t xml:space="preserve">the </w:t>
      </w:r>
      <w:r w:rsidR="005E3A7F" w:rsidRPr="0048247B">
        <w:rPr>
          <w:rFonts w:ascii="Aptos" w:hAnsi="Aptos" w:cstheme="minorHAnsi"/>
        </w:rPr>
        <w:t>Procurement</w:t>
      </w:r>
      <w:r w:rsidR="0052640A" w:rsidRPr="0048247B">
        <w:rPr>
          <w:rFonts w:ascii="Aptos" w:hAnsi="Aptos" w:cstheme="minorHAnsi"/>
        </w:rPr>
        <w:t xml:space="preserve"> Act </w:t>
      </w:r>
      <w:r w:rsidR="002241EA" w:rsidRPr="0048247B">
        <w:rPr>
          <w:rFonts w:ascii="Aptos" w:hAnsi="Aptos" w:cstheme="minorHAnsi"/>
        </w:rPr>
        <w:t>2023</w:t>
      </w:r>
      <w:r w:rsidR="002241EA" w:rsidRPr="0048247B" w:rsidDel="002241EA">
        <w:rPr>
          <w:rFonts w:ascii="Aptos" w:hAnsi="Aptos" w:cstheme="minorHAnsi"/>
        </w:rPr>
        <w:t xml:space="preserve"> </w:t>
      </w:r>
      <w:r w:rsidR="005E3A7F" w:rsidRPr="0048247B">
        <w:rPr>
          <w:rFonts w:ascii="Aptos" w:hAnsi="Aptos" w:cstheme="minorHAnsi"/>
        </w:rPr>
        <w:t>(the</w:t>
      </w:r>
      <w:r w:rsidR="005E3A7F" w:rsidRPr="00A26D1D">
        <w:rPr>
          <w:rFonts w:ascii="Aptos" w:hAnsi="Aptos" w:cstheme="minorHAnsi"/>
        </w:rPr>
        <w:t xml:space="preserve"> Act)</w:t>
      </w:r>
      <w:r w:rsidR="00DA147D" w:rsidRPr="00A26D1D">
        <w:rPr>
          <w:rFonts w:ascii="Aptos" w:hAnsi="Aptos" w:cstheme="minorHAnsi"/>
        </w:rPr>
        <w:t xml:space="preserve"> for the purpose of procuring the services described in the Specification</w:t>
      </w:r>
      <w:r w:rsidR="00C20E55" w:rsidRPr="00A26D1D">
        <w:rPr>
          <w:rFonts w:ascii="Aptos" w:hAnsi="Aptos" w:cstheme="minorHAnsi"/>
        </w:rPr>
        <w:t xml:space="preserve"> at</w:t>
      </w:r>
      <w:r w:rsidR="00243D0C" w:rsidRPr="00A26D1D">
        <w:rPr>
          <w:rFonts w:ascii="Aptos" w:hAnsi="Aptos" w:cstheme="minorHAnsi"/>
        </w:rPr>
        <w:t>tached as</w:t>
      </w:r>
      <w:r w:rsidR="00C20E55" w:rsidRPr="00A26D1D">
        <w:rPr>
          <w:rFonts w:ascii="Aptos" w:hAnsi="Aptos" w:cstheme="minorHAnsi"/>
        </w:rPr>
        <w:t xml:space="preserve"> Schedule 2</w:t>
      </w:r>
      <w:r w:rsidR="00DA147D" w:rsidRPr="00A26D1D">
        <w:rPr>
          <w:rFonts w:ascii="Aptos" w:hAnsi="Aptos" w:cstheme="minorHAnsi"/>
        </w:rPr>
        <w:t xml:space="preserve"> (</w:t>
      </w:r>
      <w:r w:rsidRPr="00A26D1D">
        <w:rPr>
          <w:rFonts w:ascii="Aptos" w:hAnsi="Aptos" w:cstheme="minorHAnsi"/>
          <w:b/>
        </w:rPr>
        <w:t>Statement of Requirements</w:t>
      </w:r>
      <w:r w:rsidR="00DA147D" w:rsidRPr="00A26D1D">
        <w:rPr>
          <w:rFonts w:ascii="Aptos" w:hAnsi="Aptos" w:cstheme="minorHAnsi"/>
        </w:rPr>
        <w:t>).</w:t>
      </w:r>
      <w:r w:rsidR="002C04D6" w:rsidRPr="00A26D1D">
        <w:rPr>
          <w:rFonts w:ascii="Aptos" w:hAnsi="Aptos" w:cstheme="minorHAnsi"/>
        </w:rPr>
        <w:t xml:space="preserve"> </w:t>
      </w:r>
    </w:p>
    <w:p w14:paraId="62E35A4E" w14:textId="57C0DA06" w:rsidR="00E9706E" w:rsidRPr="00F7671B" w:rsidRDefault="00E9706E" w:rsidP="00530507">
      <w:pPr>
        <w:pStyle w:val="Parasubclause1"/>
        <w:ind w:left="1350"/>
        <w:rPr>
          <w:rFonts w:ascii="Aptos" w:hAnsi="Aptos"/>
          <w:b/>
          <w:bCs/>
        </w:rPr>
      </w:pPr>
      <w:r w:rsidRPr="00F7671B">
        <w:rPr>
          <w:rFonts w:ascii="Aptos" w:hAnsi="Aptos"/>
          <w:b/>
          <w:bCs/>
        </w:rPr>
        <w:t xml:space="preserve">Tenders should note that this </w:t>
      </w:r>
      <w:r w:rsidR="00D348A7" w:rsidRPr="00F7671B">
        <w:rPr>
          <w:rFonts w:ascii="Aptos" w:hAnsi="Aptos"/>
          <w:b/>
          <w:bCs/>
        </w:rPr>
        <w:t>will be</w:t>
      </w:r>
      <w:r w:rsidRPr="00F7671B">
        <w:rPr>
          <w:rFonts w:ascii="Aptos" w:hAnsi="Aptos"/>
          <w:b/>
          <w:bCs/>
        </w:rPr>
        <w:t xml:space="preserve"> a ‘Light Touch’ </w:t>
      </w:r>
      <w:r w:rsidR="008178AB" w:rsidRPr="00F7671B">
        <w:rPr>
          <w:rFonts w:ascii="Aptos" w:hAnsi="Aptos"/>
          <w:b/>
          <w:bCs/>
        </w:rPr>
        <w:t>Framework Contract</w:t>
      </w:r>
      <w:r w:rsidR="00D348A7" w:rsidRPr="00F7671B">
        <w:rPr>
          <w:rFonts w:ascii="Aptos" w:hAnsi="Aptos"/>
          <w:b/>
          <w:bCs/>
        </w:rPr>
        <w:t xml:space="preserve">, in accordance </w:t>
      </w:r>
      <w:r w:rsidR="00F7671B" w:rsidRPr="00F7671B">
        <w:rPr>
          <w:rFonts w:ascii="Aptos" w:hAnsi="Aptos"/>
          <w:b/>
          <w:bCs/>
        </w:rPr>
        <w:t>with the Act.</w:t>
      </w:r>
    </w:p>
    <w:p w14:paraId="034EAA36" w14:textId="4002D69B" w:rsidR="001F40D2" w:rsidRPr="00DE1D32" w:rsidRDefault="001F40D2" w:rsidP="00530507">
      <w:pPr>
        <w:pStyle w:val="Parasubclause1"/>
        <w:ind w:left="1350"/>
        <w:rPr>
          <w:rFonts w:ascii="Aptos" w:hAnsi="Aptos" w:cstheme="minorHAnsi"/>
        </w:rPr>
      </w:pPr>
      <w:r w:rsidRPr="00DE1D32">
        <w:rPr>
          <w:rFonts w:ascii="Aptos" w:hAnsi="Aptos" w:cstheme="minorHAnsi"/>
        </w:rPr>
        <w:t xml:space="preserve">Once the assessment has concluded, OAT will provide an assessment summary to all Tenderers that </w:t>
      </w:r>
      <w:r w:rsidR="00DE1D32" w:rsidRPr="00DE1D32">
        <w:rPr>
          <w:rFonts w:ascii="Aptos" w:hAnsi="Aptos" w:cstheme="minorHAnsi"/>
        </w:rPr>
        <w:t xml:space="preserve">a) </w:t>
      </w:r>
      <w:r w:rsidRPr="00DE1D32">
        <w:rPr>
          <w:rFonts w:ascii="Aptos" w:hAnsi="Aptos" w:cstheme="minorHAnsi"/>
        </w:rPr>
        <w:t xml:space="preserve">submitted </w:t>
      </w:r>
      <w:r w:rsidR="00DE1D32" w:rsidRPr="00DE1D32">
        <w:rPr>
          <w:rFonts w:ascii="Aptos" w:hAnsi="Aptos" w:cstheme="minorHAnsi"/>
        </w:rPr>
        <w:t>compliant</w:t>
      </w:r>
      <w:r w:rsidRPr="00DE1D32">
        <w:rPr>
          <w:rFonts w:ascii="Aptos" w:hAnsi="Aptos" w:cstheme="minorHAnsi"/>
        </w:rPr>
        <w:t xml:space="preserve"> tenders </w:t>
      </w:r>
      <w:r w:rsidR="00DE1D32" w:rsidRPr="00DE1D32">
        <w:rPr>
          <w:rFonts w:ascii="Aptos" w:hAnsi="Aptos" w:cstheme="minorHAnsi"/>
        </w:rPr>
        <w:t xml:space="preserve">and b) passed </w:t>
      </w:r>
      <w:r w:rsidR="00894DE4" w:rsidRPr="00DE1D32">
        <w:rPr>
          <w:rFonts w:ascii="Aptos" w:hAnsi="Aptos" w:cstheme="minorHAnsi"/>
        </w:rPr>
        <w:t>all</w:t>
      </w:r>
      <w:r w:rsidR="00DE1D32" w:rsidRPr="00DE1D32">
        <w:rPr>
          <w:rFonts w:ascii="Aptos" w:hAnsi="Aptos" w:cstheme="minorHAnsi"/>
        </w:rPr>
        <w:t xml:space="preserve"> the tender selection criteria </w:t>
      </w:r>
      <w:r w:rsidRPr="00DE1D32">
        <w:rPr>
          <w:rFonts w:ascii="Aptos" w:hAnsi="Aptos" w:cstheme="minorHAnsi"/>
        </w:rPr>
        <w:t>to:</w:t>
      </w:r>
    </w:p>
    <w:p w14:paraId="7BE4824D" w14:textId="2B60EA92" w:rsidR="001F40D2" w:rsidRPr="00DE1D32" w:rsidRDefault="00A25251" w:rsidP="00C1480A">
      <w:pPr>
        <w:pStyle w:val="Parasubclause1"/>
        <w:numPr>
          <w:ilvl w:val="2"/>
          <w:numId w:val="50"/>
        </w:numPr>
        <w:ind w:left="1350" w:hanging="630"/>
        <w:rPr>
          <w:rFonts w:ascii="Aptos" w:hAnsi="Aptos" w:cstheme="minorHAnsi"/>
        </w:rPr>
      </w:pPr>
      <w:r>
        <w:rPr>
          <w:rFonts w:ascii="Aptos" w:hAnsi="Aptos" w:cstheme="minorHAnsi"/>
        </w:rPr>
        <w:t>I</w:t>
      </w:r>
      <w:r w:rsidR="001F40D2" w:rsidRPr="00DE1D32">
        <w:rPr>
          <w:rFonts w:ascii="Aptos" w:hAnsi="Aptos" w:cstheme="minorHAnsi"/>
        </w:rPr>
        <w:t>nform them whether they have been successful in being awarded the Contract</w:t>
      </w:r>
      <w:r w:rsidR="007D46ED">
        <w:rPr>
          <w:rFonts w:ascii="Aptos" w:hAnsi="Aptos" w:cstheme="minorHAnsi"/>
        </w:rPr>
        <w:t>.</w:t>
      </w:r>
    </w:p>
    <w:p w14:paraId="0DBE938B" w14:textId="09D03A60" w:rsidR="001F40D2" w:rsidRPr="00613F65" w:rsidRDefault="00A25251" w:rsidP="0043347C">
      <w:pPr>
        <w:pStyle w:val="Parasubclause1"/>
        <w:numPr>
          <w:ilvl w:val="2"/>
          <w:numId w:val="50"/>
        </w:numPr>
        <w:ind w:left="1350" w:hanging="630"/>
        <w:rPr>
          <w:rFonts w:ascii="Aptos" w:hAnsi="Aptos" w:cstheme="minorHAnsi"/>
        </w:rPr>
      </w:pPr>
      <w:r>
        <w:rPr>
          <w:rFonts w:ascii="Aptos" w:hAnsi="Aptos" w:cstheme="minorHAnsi"/>
        </w:rPr>
        <w:t>P</w:t>
      </w:r>
      <w:r w:rsidR="001F40D2" w:rsidRPr="00613F65">
        <w:rPr>
          <w:rFonts w:ascii="Aptos" w:hAnsi="Aptos" w:cstheme="minorHAnsi"/>
        </w:rPr>
        <w:t>rovide an explanation of the assessment of the Tenderers Tender against the relevant award criteria, in accordance with the requirements of the Act</w:t>
      </w:r>
      <w:r w:rsidR="00613F65">
        <w:rPr>
          <w:rFonts w:ascii="Aptos" w:hAnsi="Aptos" w:cstheme="minorHAnsi"/>
        </w:rPr>
        <w:t xml:space="preserve"> </w:t>
      </w:r>
      <w:r w:rsidR="001F40D2" w:rsidRPr="00613F65">
        <w:rPr>
          <w:rFonts w:ascii="Aptos" w:hAnsi="Aptos" w:cstheme="minorHAnsi"/>
        </w:rPr>
        <w:t xml:space="preserve">where different to the Tenderer concerned, provide information in respect of the </w:t>
      </w:r>
      <w:r w:rsidR="001F40D2" w:rsidRPr="0043347C">
        <w:rPr>
          <w:rFonts w:ascii="Aptos" w:hAnsi="Aptos" w:cstheme="minorHAnsi"/>
        </w:rPr>
        <w:t>most advantageous tender</w:t>
      </w:r>
      <w:r w:rsidR="001F40D2" w:rsidRPr="00613F65">
        <w:rPr>
          <w:rFonts w:ascii="Aptos" w:hAnsi="Aptos" w:cstheme="minorHAnsi"/>
        </w:rPr>
        <w:t xml:space="preserve"> submitted, including details of the assessment of this tender against the relevant award criteria and the Tenderer’s name</w:t>
      </w:r>
      <w:r w:rsidR="00787226" w:rsidRPr="00613F65">
        <w:rPr>
          <w:rFonts w:ascii="Aptos" w:hAnsi="Aptos" w:cstheme="minorHAnsi"/>
        </w:rPr>
        <w:t>.</w:t>
      </w:r>
      <w:r w:rsidR="001F40D2" w:rsidRPr="00613F65">
        <w:rPr>
          <w:rFonts w:ascii="Aptos" w:hAnsi="Aptos" w:cstheme="minorHAnsi"/>
        </w:rPr>
        <w:t xml:space="preserve"> </w:t>
      </w:r>
    </w:p>
    <w:p w14:paraId="72E68232" w14:textId="7B9A0A21" w:rsidR="001F40D2" w:rsidRPr="00A456D2" w:rsidRDefault="001F40D2" w:rsidP="0043347C">
      <w:pPr>
        <w:pStyle w:val="Parasubclause1"/>
        <w:numPr>
          <w:ilvl w:val="2"/>
          <w:numId w:val="50"/>
        </w:numPr>
        <w:ind w:left="1350" w:hanging="630"/>
        <w:rPr>
          <w:rFonts w:ascii="Aptos" w:hAnsi="Aptos" w:cstheme="minorHAnsi"/>
        </w:rPr>
      </w:pPr>
      <w:r w:rsidRPr="00616B7B">
        <w:rPr>
          <w:rFonts w:ascii="Aptos" w:hAnsi="Aptos" w:cstheme="minorHAnsi"/>
        </w:rPr>
        <w:lastRenderedPageBreak/>
        <w:t xml:space="preserve">Once the assessment summaries have been provided to </w:t>
      </w:r>
      <w:r w:rsidR="00D93A68" w:rsidRPr="00DE1D32">
        <w:rPr>
          <w:rFonts w:ascii="Aptos" w:hAnsi="Aptos" w:cstheme="minorHAnsi"/>
        </w:rPr>
        <w:t>all Tenderers that a) submitted compliant tenders and b) passed all the tender selection criteria to</w:t>
      </w:r>
      <w:r w:rsidR="00D93A68">
        <w:rPr>
          <w:rFonts w:ascii="Aptos" w:hAnsi="Aptos" w:cstheme="minorHAnsi"/>
        </w:rPr>
        <w:t>,</w:t>
      </w:r>
      <w:r w:rsidRPr="00616B7B">
        <w:rPr>
          <w:rFonts w:ascii="Aptos" w:hAnsi="Aptos" w:cstheme="minorHAnsi"/>
        </w:rPr>
        <w:t xml:space="preserve"> OAT will also publish a contract award notice on Find a Tender to commence the mandatory standstill period. Subject to completion of the mandatory standstill period, the tender will end with OAT </w:t>
      </w:r>
      <w:proofErr w:type="gramStart"/>
      <w:r w:rsidRPr="00616B7B">
        <w:rPr>
          <w:rFonts w:ascii="Aptos" w:hAnsi="Aptos" w:cstheme="minorHAnsi"/>
        </w:rPr>
        <w:t>entering into</w:t>
      </w:r>
      <w:proofErr w:type="gramEnd"/>
      <w:r w:rsidRPr="00616B7B">
        <w:rPr>
          <w:rFonts w:ascii="Aptos" w:hAnsi="Aptos" w:cstheme="minorHAnsi"/>
        </w:rPr>
        <w:t xml:space="preserve"> the Contract with the preferred Tenderer and publication of a Contract Details Notice on Find a Tender (within 30 days of the date on which the Contract is entered into). Where appropriate, a copy of the Contract may also be published on Find a Tender</w:t>
      </w:r>
      <w:r w:rsidR="004E1CAF" w:rsidRPr="00616B7B">
        <w:rPr>
          <w:rFonts w:ascii="Aptos" w:hAnsi="Aptos" w:cstheme="minorHAnsi"/>
        </w:rPr>
        <w:t>.</w:t>
      </w:r>
    </w:p>
    <w:p w14:paraId="7A8B8AB4" w14:textId="145C304C" w:rsidR="005E3A7F" w:rsidRPr="007617B0" w:rsidRDefault="00DA147D" w:rsidP="0043347C">
      <w:pPr>
        <w:pStyle w:val="Parasubclause1"/>
        <w:numPr>
          <w:ilvl w:val="2"/>
          <w:numId w:val="50"/>
        </w:numPr>
        <w:ind w:left="1350" w:hanging="630"/>
        <w:rPr>
          <w:rFonts w:ascii="Aptos" w:hAnsi="Aptos" w:cstheme="minorHAnsi"/>
        </w:rPr>
      </w:pPr>
      <w:r w:rsidRPr="00361AEF">
        <w:rPr>
          <w:rFonts w:ascii="Aptos" w:hAnsi="Aptos" w:cstheme="minorHAnsi"/>
        </w:rPr>
        <w:t xml:space="preserve">This </w:t>
      </w:r>
      <w:r w:rsidR="002241EA" w:rsidRPr="00361AEF">
        <w:rPr>
          <w:rFonts w:ascii="Aptos" w:hAnsi="Aptos" w:cstheme="minorHAnsi"/>
        </w:rPr>
        <w:t>ITT</w:t>
      </w:r>
      <w:r w:rsidRPr="00361AEF">
        <w:rPr>
          <w:rFonts w:ascii="Aptos" w:hAnsi="Aptos" w:cstheme="minorHAnsi"/>
        </w:rPr>
        <w:t xml:space="preserve"> contains further information about the procurement process,</w:t>
      </w:r>
      <w:r w:rsidR="00F771B0" w:rsidRPr="00361AEF">
        <w:rPr>
          <w:rFonts w:ascii="Aptos" w:hAnsi="Aptos" w:cstheme="minorHAnsi"/>
        </w:rPr>
        <w:t xml:space="preserve"> and the </w:t>
      </w:r>
      <w:r w:rsidR="006C1932">
        <w:rPr>
          <w:rFonts w:ascii="Aptos" w:hAnsi="Aptos" w:cstheme="minorHAnsi"/>
        </w:rPr>
        <w:t xml:space="preserve">attached </w:t>
      </w:r>
      <w:r w:rsidR="00F771B0" w:rsidRPr="00361AEF">
        <w:rPr>
          <w:rFonts w:ascii="Aptos" w:hAnsi="Aptos" w:cstheme="minorHAnsi"/>
        </w:rPr>
        <w:t xml:space="preserve">Statement </w:t>
      </w:r>
      <w:r w:rsidR="00F771B0" w:rsidRPr="007617B0">
        <w:rPr>
          <w:rFonts w:ascii="Aptos" w:hAnsi="Aptos" w:cstheme="minorHAnsi"/>
        </w:rPr>
        <w:t>of Requirements</w:t>
      </w:r>
      <w:r w:rsidR="00B75560">
        <w:rPr>
          <w:rFonts w:ascii="Aptos" w:hAnsi="Aptos" w:cstheme="minorHAnsi"/>
        </w:rPr>
        <w:t xml:space="preserve"> (</w:t>
      </w:r>
      <w:r w:rsidR="00EB5CDB">
        <w:rPr>
          <w:rFonts w:ascii="Aptos" w:hAnsi="Aptos" w:cstheme="minorHAnsi"/>
        </w:rPr>
        <w:t>Schedule 2)</w:t>
      </w:r>
      <w:r w:rsidRPr="007617B0">
        <w:rPr>
          <w:rFonts w:ascii="Aptos" w:hAnsi="Aptos" w:cstheme="minorHAnsi"/>
        </w:rPr>
        <w:t>. Each Tenderer's r</w:t>
      </w:r>
      <w:r w:rsidRPr="00DC19D2">
        <w:rPr>
          <w:rFonts w:ascii="Aptos" w:hAnsi="Aptos" w:cstheme="minorHAnsi"/>
        </w:rPr>
        <w:t>esponse (</w:t>
      </w:r>
      <w:r w:rsidRPr="0043347C">
        <w:rPr>
          <w:rFonts w:ascii="Aptos" w:hAnsi="Aptos" w:cstheme="minorHAnsi"/>
        </w:rPr>
        <w:t>Tender</w:t>
      </w:r>
      <w:r w:rsidRPr="00DC19D2">
        <w:rPr>
          <w:rFonts w:ascii="Aptos" w:hAnsi="Aptos" w:cstheme="minorHAnsi"/>
        </w:rPr>
        <w:t xml:space="preserve">) </w:t>
      </w:r>
      <w:r w:rsidR="00495F71">
        <w:rPr>
          <w:rFonts w:ascii="Aptos" w:hAnsi="Aptos" w:cstheme="minorHAnsi"/>
        </w:rPr>
        <w:t>should consist of</w:t>
      </w:r>
      <w:r w:rsidR="00447C0B">
        <w:rPr>
          <w:rFonts w:ascii="Aptos" w:hAnsi="Aptos" w:cstheme="minorHAnsi"/>
        </w:rPr>
        <w:t xml:space="preserve"> </w:t>
      </w:r>
      <w:r w:rsidR="00617951">
        <w:rPr>
          <w:rFonts w:ascii="Aptos" w:hAnsi="Aptos" w:cstheme="minorHAnsi"/>
        </w:rPr>
        <w:t>a</w:t>
      </w:r>
      <w:r w:rsidR="00447C0B">
        <w:rPr>
          <w:rFonts w:ascii="Aptos" w:hAnsi="Aptos" w:cstheme="minorHAnsi"/>
        </w:rPr>
        <w:t xml:space="preserve"> fully complete</w:t>
      </w:r>
      <w:r w:rsidR="006B017B">
        <w:rPr>
          <w:rFonts w:ascii="Aptos" w:hAnsi="Aptos" w:cstheme="minorHAnsi"/>
        </w:rPr>
        <w:t>:</w:t>
      </w:r>
      <w:r w:rsidR="00447C0B">
        <w:rPr>
          <w:rFonts w:ascii="Aptos" w:hAnsi="Aptos" w:cstheme="minorHAnsi"/>
        </w:rPr>
        <w:t xml:space="preserve"> Appendix A (</w:t>
      </w:r>
      <w:r w:rsidR="00617951">
        <w:rPr>
          <w:rFonts w:ascii="Aptos" w:hAnsi="Aptos" w:cstheme="minorHAnsi"/>
        </w:rPr>
        <w:t>Procurement</w:t>
      </w:r>
      <w:r w:rsidR="00447C0B">
        <w:rPr>
          <w:rFonts w:ascii="Aptos" w:hAnsi="Aptos" w:cstheme="minorHAnsi"/>
        </w:rPr>
        <w:t xml:space="preserve"> Specific Questionnaire), </w:t>
      </w:r>
      <w:r w:rsidR="004C200A">
        <w:rPr>
          <w:rFonts w:ascii="Aptos" w:hAnsi="Aptos" w:cstheme="minorHAnsi"/>
        </w:rPr>
        <w:t>Appendix C (</w:t>
      </w:r>
      <w:r w:rsidR="00D00569">
        <w:rPr>
          <w:rFonts w:ascii="Aptos" w:hAnsi="Aptos" w:cstheme="minorHAnsi"/>
        </w:rPr>
        <w:t>A</w:t>
      </w:r>
      <w:r w:rsidR="004C200A">
        <w:rPr>
          <w:rFonts w:ascii="Aptos" w:hAnsi="Aptos" w:cstheme="minorHAnsi"/>
        </w:rPr>
        <w:t>ward Questions), Appendix D (Social Value Survey)</w:t>
      </w:r>
      <w:r w:rsidR="007E557D">
        <w:rPr>
          <w:rFonts w:ascii="Aptos" w:hAnsi="Aptos" w:cstheme="minorHAnsi"/>
        </w:rPr>
        <w:t>,</w:t>
      </w:r>
      <w:r w:rsidR="00675FCB">
        <w:rPr>
          <w:rFonts w:ascii="Aptos" w:hAnsi="Aptos" w:cstheme="minorHAnsi"/>
        </w:rPr>
        <w:t xml:space="preserve"> Section 23 &amp; 24 </w:t>
      </w:r>
      <w:r w:rsidR="004145F9">
        <w:rPr>
          <w:rFonts w:ascii="Aptos" w:hAnsi="Aptos" w:cstheme="minorHAnsi"/>
        </w:rPr>
        <w:t xml:space="preserve">Sample Management Report (Schedule 2), </w:t>
      </w:r>
      <w:r w:rsidR="007E557D">
        <w:rPr>
          <w:rFonts w:ascii="Aptos" w:hAnsi="Aptos" w:cstheme="minorHAnsi"/>
        </w:rPr>
        <w:t xml:space="preserve"> Schedule </w:t>
      </w:r>
      <w:r w:rsidR="0058646B">
        <w:rPr>
          <w:rFonts w:ascii="Aptos" w:hAnsi="Aptos" w:cstheme="minorHAnsi"/>
        </w:rPr>
        <w:t xml:space="preserve">11 (Certificate of Non-Collusion), Schedule 12 (Form of Tender </w:t>
      </w:r>
      <w:r w:rsidR="00696B92">
        <w:rPr>
          <w:rFonts w:ascii="Aptos" w:hAnsi="Aptos" w:cstheme="minorHAnsi"/>
        </w:rPr>
        <w:t>and Declaration)</w:t>
      </w:r>
      <w:r w:rsidR="00EF0E35">
        <w:rPr>
          <w:rFonts w:ascii="Aptos" w:hAnsi="Aptos" w:cstheme="minorHAnsi"/>
        </w:rPr>
        <w:t xml:space="preserve"> and</w:t>
      </w:r>
      <w:r w:rsidR="00696B92">
        <w:rPr>
          <w:rFonts w:ascii="Aptos" w:hAnsi="Aptos" w:cstheme="minorHAnsi"/>
        </w:rPr>
        <w:t xml:space="preserve"> Schedule 14 (Conflicts of Interest</w:t>
      </w:r>
      <w:r w:rsidR="00EF0E35">
        <w:rPr>
          <w:rFonts w:ascii="Aptos" w:hAnsi="Aptos" w:cstheme="minorHAnsi"/>
        </w:rPr>
        <w:t xml:space="preserve"> Declaration) </w:t>
      </w:r>
      <w:r w:rsidRPr="00DC19D2">
        <w:rPr>
          <w:rFonts w:ascii="Aptos" w:hAnsi="Aptos" w:cstheme="minorHAnsi"/>
        </w:rPr>
        <w:t>s</w:t>
      </w:r>
      <w:r w:rsidRPr="007617B0">
        <w:rPr>
          <w:rFonts w:ascii="Aptos" w:hAnsi="Aptos" w:cstheme="minorHAnsi"/>
        </w:rPr>
        <w:t xml:space="preserve">hould be sufficiently detailed to allow </w:t>
      </w:r>
      <w:r w:rsidR="00DA04F7" w:rsidRPr="007617B0">
        <w:rPr>
          <w:rFonts w:ascii="Aptos" w:hAnsi="Aptos" w:cstheme="minorHAnsi"/>
        </w:rPr>
        <w:t>OAT</w:t>
      </w:r>
      <w:r w:rsidRPr="007617B0">
        <w:rPr>
          <w:rFonts w:ascii="Aptos" w:hAnsi="Aptos" w:cstheme="minorHAnsi"/>
        </w:rPr>
        <w:t xml:space="preserve"> to make an informed selection of the most appropriate solution</w:t>
      </w:r>
      <w:r w:rsidR="00F771B0" w:rsidRPr="007617B0">
        <w:rPr>
          <w:rFonts w:ascii="Aptos" w:hAnsi="Aptos" w:cstheme="minorHAnsi"/>
        </w:rPr>
        <w:t xml:space="preserve"> that it requires</w:t>
      </w:r>
      <w:r w:rsidRPr="007617B0">
        <w:rPr>
          <w:rFonts w:ascii="Aptos" w:hAnsi="Aptos" w:cstheme="minorHAnsi"/>
        </w:rPr>
        <w:t>.</w:t>
      </w:r>
    </w:p>
    <w:p w14:paraId="5CD907CF" w14:textId="13478ADB" w:rsidR="00255344" w:rsidRPr="005763F6" w:rsidRDefault="00255344" w:rsidP="0043347C">
      <w:pPr>
        <w:pStyle w:val="Parasubclause1"/>
        <w:numPr>
          <w:ilvl w:val="2"/>
          <w:numId w:val="50"/>
        </w:numPr>
        <w:ind w:left="1350" w:hanging="630"/>
        <w:jc w:val="left"/>
        <w:rPr>
          <w:rFonts w:ascii="Aptos" w:hAnsi="Aptos" w:cstheme="minorHAnsi"/>
        </w:rPr>
      </w:pPr>
      <w:r w:rsidRPr="005763F6">
        <w:rPr>
          <w:rFonts w:ascii="Aptos" w:hAnsi="Aptos" w:cstheme="minorHAnsi"/>
        </w:rPr>
        <w:t xml:space="preserve">Interested parties should complete the </w:t>
      </w:r>
      <w:r w:rsidR="00655EF5" w:rsidRPr="005763F6">
        <w:rPr>
          <w:rFonts w:ascii="Aptos" w:hAnsi="Aptos" w:cstheme="minorHAnsi"/>
        </w:rPr>
        <w:t xml:space="preserve">attached </w:t>
      </w:r>
      <w:r w:rsidRPr="005763F6">
        <w:rPr>
          <w:rFonts w:ascii="Aptos" w:hAnsi="Aptos" w:cstheme="minorHAnsi"/>
        </w:rPr>
        <w:t>procurement specific questionnaire (</w:t>
      </w:r>
      <w:r w:rsidRPr="0043347C">
        <w:rPr>
          <w:rFonts w:ascii="Aptos" w:hAnsi="Aptos" w:cstheme="minorHAnsi"/>
        </w:rPr>
        <w:t>PSQ</w:t>
      </w:r>
      <w:r w:rsidRPr="005763F6">
        <w:rPr>
          <w:rFonts w:ascii="Aptos" w:hAnsi="Aptos" w:cstheme="minorHAnsi"/>
        </w:rPr>
        <w:t>)</w:t>
      </w:r>
      <w:r w:rsidR="0007685A" w:rsidRPr="005763F6">
        <w:rPr>
          <w:rFonts w:ascii="Aptos" w:hAnsi="Aptos" w:cstheme="minorHAnsi"/>
        </w:rPr>
        <w:t xml:space="preserve"> </w:t>
      </w:r>
      <w:r w:rsidR="00655EF5" w:rsidRPr="005763F6">
        <w:rPr>
          <w:rFonts w:ascii="Aptos" w:hAnsi="Aptos" w:cstheme="minorHAnsi"/>
        </w:rPr>
        <w:t>in</w:t>
      </w:r>
      <w:r w:rsidR="0007685A" w:rsidRPr="005763F6">
        <w:rPr>
          <w:rFonts w:ascii="Aptos" w:hAnsi="Aptos" w:cstheme="minorHAnsi"/>
        </w:rPr>
        <w:t xml:space="preserve"> </w:t>
      </w:r>
      <w:r w:rsidR="0007685A" w:rsidRPr="0043347C">
        <w:rPr>
          <w:rFonts w:ascii="Aptos" w:hAnsi="Aptos" w:cstheme="minorHAnsi"/>
        </w:rPr>
        <w:t xml:space="preserve">Appendix </w:t>
      </w:r>
      <w:r w:rsidR="007A39D7" w:rsidRPr="0043347C">
        <w:rPr>
          <w:rFonts w:ascii="Aptos" w:hAnsi="Aptos" w:cstheme="minorHAnsi"/>
        </w:rPr>
        <w:t xml:space="preserve">A </w:t>
      </w:r>
      <w:r w:rsidRPr="005763F6">
        <w:rPr>
          <w:rFonts w:ascii="Aptos" w:hAnsi="Aptos" w:cstheme="minorHAnsi"/>
        </w:rPr>
        <w:t>which seeks responses in relation to the</w:t>
      </w:r>
      <w:r w:rsidR="006A7817" w:rsidRPr="005763F6">
        <w:rPr>
          <w:rFonts w:ascii="Aptos" w:hAnsi="Aptos" w:cstheme="minorHAnsi"/>
        </w:rPr>
        <w:t xml:space="preserve"> tenderers</w:t>
      </w:r>
      <w:r w:rsidRPr="005763F6">
        <w:rPr>
          <w:rFonts w:ascii="Aptos" w:hAnsi="Aptos" w:cstheme="minorHAnsi"/>
        </w:rPr>
        <w:t xml:space="preserve"> technical ability to perform the Contract, and their legal and financial standing. </w:t>
      </w:r>
      <w:r w:rsidR="00D160F1" w:rsidRPr="005763F6">
        <w:rPr>
          <w:rFonts w:ascii="Aptos" w:hAnsi="Aptos" w:cstheme="minorHAnsi"/>
        </w:rPr>
        <w:t xml:space="preserve">Suppliers should note that the PSQ requires </w:t>
      </w:r>
      <w:r w:rsidR="00DA44F2" w:rsidRPr="005763F6">
        <w:rPr>
          <w:rFonts w:ascii="Aptos" w:hAnsi="Aptos" w:cstheme="minorHAnsi"/>
        </w:rPr>
        <w:t>confirmation that the supplier has registered on</w:t>
      </w:r>
      <w:r w:rsidR="00876140" w:rsidRPr="005763F6">
        <w:rPr>
          <w:rFonts w:ascii="Aptos" w:hAnsi="Aptos" w:cstheme="minorHAnsi"/>
        </w:rPr>
        <w:t xml:space="preserve"> and</w:t>
      </w:r>
      <w:r w:rsidR="00DA44F2" w:rsidRPr="005763F6">
        <w:rPr>
          <w:rFonts w:ascii="Aptos" w:hAnsi="Aptos" w:cstheme="minorHAnsi"/>
        </w:rPr>
        <w:t xml:space="preserve"> submitted via the Government’s Find a Tender website (</w:t>
      </w:r>
      <w:hyperlink r:id="rId14" w:history="1">
        <w:r w:rsidR="004049A3" w:rsidRPr="0043347C">
          <w:rPr>
            <w:rFonts w:ascii="Aptos" w:hAnsi="Aptos" w:cstheme="minorHAnsi"/>
          </w:rPr>
          <w:t>www.find-tender.service.gov.uk</w:t>
        </w:r>
      </w:hyperlink>
      <w:r w:rsidR="00437D5F" w:rsidRPr="005763F6">
        <w:rPr>
          <w:rFonts w:ascii="Aptos" w:hAnsi="Aptos" w:cstheme="minorHAnsi"/>
        </w:rPr>
        <w:t>)</w:t>
      </w:r>
      <w:r w:rsidR="004049A3" w:rsidRPr="005763F6">
        <w:rPr>
          <w:rFonts w:ascii="Aptos" w:hAnsi="Aptos" w:cstheme="minorHAnsi"/>
        </w:rPr>
        <w:t xml:space="preserve"> </w:t>
      </w:r>
      <w:r w:rsidR="00876140" w:rsidRPr="005763F6">
        <w:rPr>
          <w:rFonts w:ascii="Aptos" w:hAnsi="Aptos" w:cstheme="minorHAnsi"/>
        </w:rPr>
        <w:t>their core supplier information, and shared it with OAT.</w:t>
      </w:r>
      <w:r w:rsidR="00DA44F2" w:rsidRPr="005763F6">
        <w:rPr>
          <w:rFonts w:ascii="Aptos" w:hAnsi="Aptos" w:cstheme="minorHAnsi"/>
        </w:rPr>
        <w:t xml:space="preserve"> </w:t>
      </w:r>
      <w:r w:rsidR="0007685A" w:rsidRPr="005763F6">
        <w:rPr>
          <w:rFonts w:ascii="Aptos" w:hAnsi="Aptos" w:cstheme="minorHAnsi"/>
        </w:rPr>
        <w:t>A Tenderer’s compliance with the PSQ will be measured before assessing the Tenders</w:t>
      </w:r>
      <w:r w:rsidR="00CA6502" w:rsidRPr="005763F6">
        <w:rPr>
          <w:rFonts w:ascii="Aptos" w:hAnsi="Aptos" w:cstheme="minorHAnsi"/>
        </w:rPr>
        <w:t>.</w:t>
      </w:r>
      <w:r w:rsidR="0007685A" w:rsidRPr="005763F6">
        <w:rPr>
          <w:rFonts w:ascii="Aptos" w:hAnsi="Aptos" w:cstheme="minorHAnsi"/>
        </w:rPr>
        <w:t xml:space="preserve"> If a Tenderer does not satisfy the C</w:t>
      </w:r>
      <w:r w:rsidR="006B04FD" w:rsidRPr="005763F6">
        <w:rPr>
          <w:rFonts w:ascii="Aptos" w:hAnsi="Aptos" w:cstheme="minorHAnsi"/>
        </w:rPr>
        <w:t xml:space="preserve">onditions of </w:t>
      </w:r>
      <w:r w:rsidR="0007685A" w:rsidRPr="005763F6">
        <w:rPr>
          <w:rFonts w:ascii="Aptos" w:hAnsi="Aptos" w:cstheme="minorHAnsi"/>
        </w:rPr>
        <w:t>P</w:t>
      </w:r>
      <w:r w:rsidR="006B04FD" w:rsidRPr="005763F6">
        <w:rPr>
          <w:rFonts w:ascii="Aptos" w:hAnsi="Aptos" w:cstheme="minorHAnsi"/>
        </w:rPr>
        <w:t>articipation</w:t>
      </w:r>
      <w:r w:rsidR="0007685A" w:rsidRPr="005763F6">
        <w:rPr>
          <w:rFonts w:ascii="Aptos" w:hAnsi="Aptos" w:cstheme="minorHAnsi"/>
        </w:rPr>
        <w:t xml:space="preserve">, it cannot </w:t>
      </w:r>
      <w:r w:rsidR="004A3C54" w:rsidRPr="005763F6">
        <w:rPr>
          <w:rFonts w:ascii="Aptos" w:hAnsi="Aptos" w:cstheme="minorHAnsi"/>
        </w:rPr>
        <w:t xml:space="preserve">proceed </w:t>
      </w:r>
      <w:r w:rsidR="00EA51F2" w:rsidRPr="005763F6">
        <w:rPr>
          <w:rFonts w:ascii="Aptos" w:hAnsi="Aptos" w:cstheme="minorHAnsi"/>
        </w:rPr>
        <w:t xml:space="preserve">to the </w:t>
      </w:r>
      <w:r w:rsidR="006202F0" w:rsidRPr="005763F6">
        <w:rPr>
          <w:rFonts w:ascii="Aptos" w:hAnsi="Aptos" w:cstheme="minorHAnsi"/>
        </w:rPr>
        <w:t>A</w:t>
      </w:r>
      <w:r w:rsidR="00EA51F2" w:rsidRPr="005763F6">
        <w:rPr>
          <w:rFonts w:ascii="Aptos" w:hAnsi="Aptos" w:cstheme="minorHAnsi"/>
        </w:rPr>
        <w:t>ward aspect of the tender evaluation</w:t>
      </w:r>
      <w:r w:rsidR="006202F0" w:rsidRPr="005763F6">
        <w:rPr>
          <w:rFonts w:ascii="Aptos" w:hAnsi="Aptos" w:cstheme="minorHAnsi"/>
        </w:rPr>
        <w:t>.</w:t>
      </w:r>
      <w:r w:rsidR="005E0426" w:rsidRPr="005763F6">
        <w:rPr>
          <w:rFonts w:ascii="Aptos" w:hAnsi="Aptos" w:cstheme="minorHAnsi"/>
        </w:rPr>
        <w:t xml:space="preserve"> </w:t>
      </w:r>
      <w:r w:rsidR="005763F6">
        <w:rPr>
          <w:rFonts w:ascii="Aptos" w:hAnsi="Aptos" w:cstheme="minorHAnsi"/>
        </w:rPr>
        <w:br/>
      </w:r>
      <w:r w:rsidR="005763F6">
        <w:rPr>
          <w:rFonts w:ascii="Aptos" w:hAnsi="Aptos" w:cstheme="minorHAnsi"/>
        </w:rPr>
        <w:br/>
      </w:r>
      <w:r w:rsidR="005E0426" w:rsidRPr="005763F6">
        <w:rPr>
          <w:rFonts w:ascii="Aptos" w:hAnsi="Aptos" w:cstheme="minorHAnsi"/>
        </w:rPr>
        <w:t xml:space="preserve">OAT will use the PSQ to check that the Tenderer, its group companies, any key partners helping it meet the requirements, or any proposed sub-contractors are not on the Cabinet Office’s debarment list. If any of them are listed, OAT will decide whether to exclude the Tenderer from the process, in line with its legal duties. </w:t>
      </w:r>
      <w:r w:rsidR="005E0426" w:rsidRPr="0043347C">
        <w:rPr>
          <w:rFonts w:ascii="Aptos" w:hAnsi="Aptos" w:cstheme="minorHAnsi"/>
        </w:rPr>
        <w:t>OAT will also check whether any of these parties are excluded or could be excluded under the rules. Before making a final decision, OAT will give the Tenderer a fair chance to respond and provide evidence, as appropriate to the situation. If the Tenderer is only at risk of exclusion because of a partner or sub-contractor, OAT will inform the Tenderer and allow time to replace that party. If OAT decides to exclude the Tenderer</w:t>
      </w:r>
      <w:r w:rsidR="00A02809" w:rsidRPr="0043347C">
        <w:rPr>
          <w:rFonts w:ascii="Aptos" w:hAnsi="Aptos" w:cstheme="minorHAnsi"/>
        </w:rPr>
        <w:t>,</w:t>
      </w:r>
      <w:r w:rsidR="005E0426" w:rsidRPr="0043347C">
        <w:rPr>
          <w:rFonts w:ascii="Aptos" w:hAnsi="Aptos" w:cstheme="minorHAnsi"/>
        </w:rPr>
        <w:t xml:space="preserve"> or learns that a partner or sub-contractor has been replaced, it will inform the </w:t>
      </w:r>
      <w:hyperlink r:id="rId15" w:history="1">
        <w:r w:rsidR="003A200F" w:rsidRPr="0043347C">
          <w:t>Procurement Review Unit</w:t>
        </w:r>
      </w:hyperlink>
      <w:r w:rsidR="003A200F" w:rsidRPr="0043347C">
        <w:rPr>
          <w:rFonts w:ascii="Aptos" w:hAnsi="Aptos" w:cstheme="minorHAnsi"/>
        </w:rPr>
        <w:t xml:space="preserve"> </w:t>
      </w:r>
      <w:r w:rsidR="005E0426" w:rsidRPr="0043347C">
        <w:rPr>
          <w:rFonts w:ascii="Aptos" w:hAnsi="Aptos" w:cstheme="minorHAnsi"/>
        </w:rPr>
        <w:t>within 30 days of that decision.</w:t>
      </w:r>
    </w:p>
    <w:p w14:paraId="65B25DE4" w14:textId="77777777" w:rsidR="00C607E9" w:rsidRPr="00C1020F" w:rsidRDefault="005E3A7F" w:rsidP="0043347C">
      <w:pPr>
        <w:pStyle w:val="Parasubclause1"/>
        <w:numPr>
          <w:ilvl w:val="2"/>
          <w:numId w:val="50"/>
        </w:numPr>
        <w:ind w:left="1350" w:hanging="630"/>
        <w:rPr>
          <w:rFonts w:ascii="Aptos" w:hAnsi="Aptos" w:cstheme="minorHAnsi"/>
        </w:rPr>
      </w:pPr>
      <w:bookmarkStart w:id="17" w:name="_Hlk192655658"/>
      <w:r w:rsidRPr="00C607E9">
        <w:rPr>
          <w:rFonts w:ascii="Aptos" w:hAnsi="Aptos" w:cstheme="minorHAnsi"/>
        </w:rPr>
        <w:t xml:space="preserve">This document describes how the </w:t>
      </w:r>
      <w:r w:rsidR="00DA04F7" w:rsidRPr="00C607E9">
        <w:rPr>
          <w:rFonts w:ascii="Aptos" w:hAnsi="Aptos" w:cstheme="minorHAnsi"/>
        </w:rPr>
        <w:t>p</w:t>
      </w:r>
      <w:r w:rsidRPr="00C607E9">
        <w:rPr>
          <w:rFonts w:ascii="Aptos" w:hAnsi="Aptos" w:cstheme="minorHAnsi"/>
        </w:rPr>
        <w:t xml:space="preserve">rocurement will be conducted, including details of the associated </w:t>
      </w:r>
      <w:r w:rsidR="00DA04F7" w:rsidRPr="00C607E9">
        <w:rPr>
          <w:rFonts w:ascii="Aptos" w:hAnsi="Aptos" w:cstheme="minorHAnsi"/>
        </w:rPr>
        <w:t>p</w:t>
      </w:r>
      <w:r w:rsidRPr="00C607E9">
        <w:rPr>
          <w:rFonts w:ascii="Aptos" w:hAnsi="Aptos" w:cstheme="minorHAnsi"/>
        </w:rPr>
        <w:t xml:space="preserve">rocurement timetable, award criteria and how to respond to this </w:t>
      </w:r>
      <w:r w:rsidRPr="00C607E9">
        <w:rPr>
          <w:rFonts w:ascii="Aptos" w:hAnsi="Aptos" w:cstheme="minorHAnsi"/>
        </w:rPr>
        <w:lastRenderedPageBreak/>
        <w:t xml:space="preserve">opportunity. </w:t>
      </w:r>
      <w:r w:rsidR="00DA04F7" w:rsidRPr="00C607E9">
        <w:rPr>
          <w:rFonts w:ascii="Aptos" w:hAnsi="Aptos" w:cstheme="minorHAnsi"/>
        </w:rPr>
        <w:t xml:space="preserve">Tenderers </w:t>
      </w:r>
      <w:r w:rsidRPr="00C607E9">
        <w:rPr>
          <w:rFonts w:ascii="Aptos" w:hAnsi="Aptos" w:cstheme="minorHAnsi"/>
        </w:rPr>
        <w:t xml:space="preserve">are strongly encouraged to read this document before preparing their submission. </w:t>
      </w:r>
      <w:bookmarkEnd w:id="17"/>
    </w:p>
    <w:p w14:paraId="0FFB32E7" w14:textId="77777777" w:rsidR="00C607E9" w:rsidRPr="0043347C" w:rsidRDefault="005E3A7F" w:rsidP="0043347C">
      <w:pPr>
        <w:pStyle w:val="Parasubclause1"/>
        <w:ind w:left="1350"/>
        <w:rPr>
          <w:rFonts w:ascii="Aptos" w:hAnsi="Aptos" w:cstheme="minorHAnsi"/>
        </w:rPr>
      </w:pPr>
      <w:r w:rsidRPr="00C1020F">
        <w:rPr>
          <w:rFonts w:ascii="Aptos" w:hAnsi="Aptos" w:cstheme="minorHAnsi"/>
        </w:rPr>
        <w:t xml:space="preserve">This document has been prepared to assist </w:t>
      </w:r>
      <w:r w:rsidR="00DA04F7" w:rsidRPr="00C1020F">
        <w:rPr>
          <w:rFonts w:ascii="Aptos" w:hAnsi="Aptos" w:cstheme="minorHAnsi"/>
        </w:rPr>
        <w:t xml:space="preserve">Tenderers </w:t>
      </w:r>
      <w:r w:rsidRPr="00C1020F">
        <w:rPr>
          <w:rFonts w:ascii="Aptos" w:hAnsi="Aptos" w:cstheme="minorHAnsi"/>
        </w:rPr>
        <w:t xml:space="preserve">in deciding whether to submit a tender in this </w:t>
      </w:r>
      <w:r w:rsidR="00DA04F7" w:rsidRPr="00C1020F">
        <w:rPr>
          <w:rFonts w:ascii="Aptos" w:hAnsi="Aptos" w:cstheme="minorHAnsi"/>
        </w:rPr>
        <w:t>p</w:t>
      </w:r>
      <w:r w:rsidRPr="00C1020F">
        <w:rPr>
          <w:rFonts w:ascii="Aptos" w:hAnsi="Aptos" w:cstheme="minorHAnsi"/>
        </w:rPr>
        <w:t>rocurement.</w:t>
      </w:r>
      <w:r w:rsidRPr="0043347C">
        <w:rPr>
          <w:rFonts w:ascii="Aptos" w:hAnsi="Aptos" w:cstheme="minorHAnsi"/>
        </w:rPr>
        <w:t xml:space="preserve"> Please read this document </w:t>
      </w:r>
      <w:r w:rsidR="00955707" w:rsidRPr="0043347C">
        <w:rPr>
          <w:rFonts w:ascii="Aptos" w:hAnsi="Aptos" w:cstheme="minorHAnsi"/>
        </w:rPr>
        <w:t xml:space="preserve">and its associated attachments </w:t>
      </w:r>
      <w:r w:rsidRPr="0043347C">
        <w:rPr>
          <w:rFonts w:ascii="Aptos" w:hAnsi="Aptos" w:cstheme="minorHAnsi"/>
        </w:rPr>
        <w:t xml:space="preserve">carefully, as failure to comply with this document </w:t>
      </w:r>
      <w:r w:rsidR="00955707" w:rsidRPr="0043347C">
        <w:rPr>
          <w:rFonts w:ascii="Aptos" w:hAnsi="Aptos" w:cstheme="minorHAnsi"/>
        </w:rPr>
        <w:t xml:space="preserve">and its associated attachments </w:t>
      </w:r>
      <w:r w:rsidRPr="0043347C">
        <w:rPr>
          <w:rFonts w:ascii="Aptos" w:hAnsi="Aptos" w:cstheme="minorHAnsi"/>
        </w:rPr>
        <w:t xml:space="preserve">may result in exclusion from the </w:t>
      </w:r>
      <w:r w:rsidR="00710353" w:rsidRPr="0043347C">
        <w:rPr>
          <w:rFonts w:ascii="Aptos" w:hAnsi="Aptos" w:cstheme="minorHAnsi"/>
        </w:rPr>
        <w:t>p</w:t>
      </w:r>
      <w:r w:rsidRPr="0043347C">
        <w:rPr>
          <w:rFonts w:ascii="Aptos" w:hAnsi="Aptos" w:cstheme="minorHAnsi"/>
        </w:rPr>
        <w:t xml:space="preserve">rocurement and/or the rejection of any submission. </w:t>
      </w:r>
    </w:p>
    <w:p w14:paraId="23053216" w14:textId="1CFF7A15" w:rsidR="005E3A7F" w:rsidRPr="00C1020F" w:rsidRDefault="005E3A7F" w:rsidP="0043347C">
      <w:pPr>
        <w:pStyle w:val="Parasubclause1"/>
        <w:ind w:left="1350"/>
        <w:rPr>
          <w:rFonts w:ascii="Aptos" w:hAnsi="Aptos" w:cstheme="minorHAnsi"/>
        </w:rPr>
      </w:pPr>
      <w:r w:rsidRPr="00C1020F">
        <w:rPr>
          <w:rFonts w:ascii="Aptos" w:hAnsi="Aptos" w:cstheme="minorHAnsi"/>
        </w:rPr>
        <w:t xml:space="preserve">This document should be read in conjunction </w:t>
      </w:r>
      <w:r w:rsidRPr="0043347C">
        <w:rPr>
          <w:rFonts w:ascii="Aptos" w:hAnsi="Aptos" w:cstheme="minorHAnsi"/>
        </w:rPr>
        <w:t xml:space="preserve">with the Tender Notice and any other </w:t>
      </w:r>
      <w:r w:rsidR="00DA04F7" w:rsidRPr="0043347C">
        <w:rPr>
          <w:rFonts w:ascii="Aptos" w:hAnsi="Aptos" w:cstheme="minorHAnsi"/>
        </w:rPr>
        <w:t>p</w:t>
      </w:r>
      <w:r w:rsidRPr="0043347C">
        <w:rPr>
          <w:rFonts w:ascii="Aptos" w:hAnsi="Aptos" w:cstheme="minorHAnsi"/>
        </w:rPr>
        <w:t xml:space="preserve">rocurement documents which have been made available </w:t>
      </w:r>
      <w:r w:rsidR="00710353" w:rsidRPr="0043347C">
        <w:rPr>
          <w:rFonts w:ascii="Aptos" w:hAnsi="Aptos" w:cstheme="minorHAnsi"/>
        </w:rPr>
        <w:t>as part of</w:t>
      </w:r>
      <w:r w:rsidRPr="0043347C">
        <w:rPr>
          <w:rFonts w:ascii="Aptos" w:hAnsi="Aptos" w:cstheme="minorHAnsi"/>
        </w:rPr>
        <w:t xml:space="preserve"> the </w:t>
      </w:r>
      <w:r w:rsidR="00DA04F7" w:rsidRPr="0043347C">
        <w:rPr>
          <w:rFonts w:ascii="Aptos" w:hAnsi="Aptos" w:cstheme="minorHAnsi"/>
        </w:rPr>
        <w:t>p</w:t>
      </w:r>
      <w:r w:rsidRPr="0043347C">
        <w:rPr>
          <w:rFonts w:ascii="Aptos" w:hAnsi="Aptos" w:cstheme="minorHAnsi"/>
        </w:rPr>
        <w:t>rocurement.</w:t>
      </w:r>
    </w:p>
    <w:p w14:paraId="0F7201AB" w14:textId="11E660CD" w:rsidR="009E2C1E" w:rsidRPr="007A5B68" w:rsidRDefault="009E2C1E" w:rsidP="0043347C">
      <w:pPr>
        <w:pStyle w:val="Untitledsubclause1"/>
        <w:numPr>
          <w:ilvl w:val="1"/>
          <w:numId w:val="67"/>
        </w:numPr>
        <w:rPr>
          <w:rFonts w:ascii="Aptos" w:hAnsi="Aptos"/>
          <w:b/>
        </w:rPr>
      </w:pPr>
      <w:bookmarkStart w:id="18" w:name="_Toc208864817"/>
      <w:r w:rsidRPr="007A5B68">
        <w:rPr>
          <w:rFonts w:ascii="Aptos" w:hAnsi="Aptos"/>
          <w:b/>
        </w:rPr>
        <w:t>Context</w:t>
      </w:r>
      <w:r w:rsidR="00C607E9" w:rsidRPr="007A5B68">
        <w:rPr>
          <w:rFonts w:ascii="Aptos" w:hAnsi="Aptos"/>
          <w:b/>
        </w:rPr>
        <w:t xml:space="preserve"> and Background</w:t>
      </w:r>
      <w:bookmarkEnd w:id="18"/>
    </w:p>
    <w:p w14:paraId="43F2A7D0" w14:textId="16E3933F" w:rsidR="00437D2F" w:rsidRPr="00437D2F" w:rsidRDefault="00437D2F" w:rsidP="00437D2F">
      <w:pPr>
        <w:pStyle w:val="Parasubclause1"/>
        <w:rPr>
          <w:rFonts w:ascii="Aptos" w:hAnsi="Aptos"/>
        </w:rPr>
      </w:pPr>
      <w:r w:rsidRPr="00437D2F">
        <w:rPr>
          <w:rFonts w:ascii="Aptos" w:hAnsi="Aptos"/>
        </w:rPr>
        <w:t xml:space="preserve">At Ormiston Academies Trust, we’ve been dedicated to transforming education since 2009. We are proud to be one of the oldest, largest and most established school trusts in the country, </w:t>
      </w:r>
      <w:r w:rsidR="000C60FF">
        <w:rPr>
          <w:rFonts w:ascii="Aptos" w:hAnsi="Aptos"/>
        </w:rPr>
        <w:t xml:space="preserve">currently </w:t>
      </w:r>
      <w:r w:rsidRPr="00437D2F">
        <w:rPr>
          <w:rFonts w:ascii="Aptos" w:hAnsi="Aptos"/>
        </w:rPr>
        <w:t>supporting over 35,000 pupils in 44 schools with over 5,000 staff- currently 32 secondary schools, six primary schools, three alternative provision schools and three special schools.</w:t>
      </w:r>
    </w:p>
    <w:p w14:paraId="1BDEA320" w14:textId="1B809016" w:rsidR="00437D2F" w:rsidRPr="00437D2F" w:rsidRDefault="00437D2F" w:rsidP="00437D2F">
      <w:pPr>
        <w:pStyle w:val="Parasubclause1"/>
        <w:rPr>
          <w:rFonts w:ascii="Aptos" w:hAnsi="Aptos"/>
        </w:rPr>
      </w:pPr>
      <w:r w:rsidRPr="00437D2F">
        <w:rPr>
          <w:rFonts w:ascii="Aptos" w:hAnsi="Aptos"/>
        </w:rPr>
        <w:t>We are one of the few national trusts spread across England in diverse locations such as Lowestoft, the Isle of Wight, Grimsby, Runcorn, London and the West Midlands. This national reach reflects the diversity of the communities we serve and the learning opportunities we aim to provide for every child.</w:t>
      </w:r>
    </w:p>
    <w:p w14:paraId="68A3FB82" w14:textId="05968C70" w:rsidR="00437D2F" w:rsidRPr="00437D2F" w:rsidRDefault="00437D2F" w:rsidP="00437D2F">
      <w:pPr>
        <w:pStyle w:val="Parasubclause1"/>
        <w:rPr>
          <w:rFonts w:ascii="Aptos" w:hAnsi="Aptos"/>
        </w:rPr>
      </w:pPr>
      <w:r w:rsidRPr="00437D2F">
        <w:rPr>
          <w:rFonts w:ascii="Aptos" w:hAnsi="Aptos"/>
        </w:rPr>
        <w:t>At the heart of everything we do is a simple yet powerful vision: a school system where every child can thrive, and our mission is to ensure every child has excellent learning opportunities, inside and out of the classroom, which enrich their lives and afford them choice and opportunity in the future.</w:t>
      </w:r>
    </w:p>
    <w:p w14:paraId="75F49FA3" w14:textId="77777777" w:rsidR="00437D2F" w:rsidRPr="00437D2F" w:rsidRDefault="00437D2F" w:rsidP="00437D2F">
      <w:pPr>
        <w:pStyle w:val="Parasubclause1"/>
        <w:rPr>
          <w:rFonts w:ascii="Aptos" w:hAnsi="Aptos"/>
        </w:rPr>
      </w:pPr>
      <w:r w:rsidRPr="00437D2F">
        <w:rPr>
          <w:rFonts w:ascii="Aptos" w:hAnsi="Aptos"/>
        </w:rPr>
        <w:t>We are proud of proud of our rich history and the strong values and beliefs that underpin everything we do. These form the foundations of our strategy and help us tell our story through:</w:t>
      </w:r>
    </w:p>
    <w:p w14:paraId="449D2241" w14:textId="77777777" w:rsidR="00437D2F" w:rsidRPr="00437D2F" w:rsidRDefault="00437D2F" w:rsidP="004347A7">
      <w:pPr>
        <w:pStyle w:val="ListParagraph"/>
        <w:numPr>
          <w:ilvl w:val="0"/>
          <w:numId w:val="46"/>
        </w:numPr>
        <w:shd w:val="clear" w:color="auto" w:fill="FFFFFF" w:themeFill="background1"/>
        <w:spacing w:after="0" w:line="240" w:lineRule="auto"/>
        <w:jc w:val="both"/>
        <w:textAlignment w:val="baseline"/>
        <w:rPr>
          <w:rFonts w:ascii="Aptos" w:hAnsi="Aptos" w:cs="Arial"/>
          <w:color w:val="auto"/>
          <w:lang w:eastAsia="zh-CN"/>
        </w:rPr>
      </w:pPr>
      <w:r w:rsidRPr="00437D2F">
        <w:rPr>
          <w:rFonts w:ascii="Aptos" w:hAnsi="Aptos" w:cs="Arial"/>
          <w:color w:val="auto"/>
          <w:lang w:eastAsia="zh-CN"/>
        </w:rPr>
        <w:t xml:space="preserve">Our origin story </w:t>
      </w:r>
    </w:p>
    <w:p w14:paraId="5B380322" w14:textId="77777777" w:rsidR="00437D2F" w:rsidRPr="00437D2F" w:rsidRDefault="00437D2F" w:rsidP="004347A7">
      <w:pPr>
        <w:pStyle w:val="ListParagraph"/>
        <w:numPr>
          <w:ilvl w:val="0"/>
          <w:numId w:val="46"/>
        </w:numPr>
        <w:shd w:val="clear" w:color="auto" w:fill="FFFFFF" w:themeFill="background1"/>
        <w:spacing w:after="0" w:line="240" w:lineRule="auto"/>
        <w:jc w:val="both"/>
        <w:textAlignment w:val="baseline"/>
        <w:rPr>
          <w:rFonts w:ascii="Aptos" w:hAnsi="Aptos" w:cs="Arial"/>
          <w:color w:val="auto"/>
          <w:lang w:eastAsia="zh-CN"/>
        </w:rPr>
      </w:pPr>
      <w:r w:rsidRPr="00437D2F">
        <w:rPr>
          <w:rFonts w:ascii="Aptos" w:hAnsi="Aptos" w:cs="Arial"/>
          <w:color w:val="auto"/>
          <w:lang w:eastAsia="zh-CN"/>
        </w:rPr>
        <w:t xml:space="preserve">Our core beliefs </w:t>
      </w:r>
    </w:p>
    <w:p w14:paraId="0EDD224B" w14:textId="77777777" w:rsidR="00437D2F" w:rsidRPr="00437D2F" w:rsidRDefault="00437D2F" w:rsidP="004347A7">
      <w:pPr>
        <w:pStyle w:val="ListParagraph"/>
        <w:numPr>
          <w:ilvl w:val="0"/>
          <w:numId w:val="46"/>
        </w:numPr>
        <w:shd w:val="clear" w:color="auto" w:fill="FFFFFF" w:themeFill="background1"/>
        <w:spacing w:after="0" w:line="240" w:lineRule="auto"/>
        <w:jc w:val="both"/>
        <w:textAlignment w:val="baseline"/>
        <w:rPr>
          <w:rFonts w:ascii="Aptos" w:hAnsi="Aptos" w:cs="Arial"/>
          <w:color w:val="auto"/>
          <w:lang w:eastAsia="zh-CN"/>
        </w:rPr>
      </w:pPr>
      <w:r w:rsidRPr="00437D2F">
        <w:rPr>
          <w:rFonts w:ascii="Aptos" w:hAnsi="Aptos" w:cs="Arial"/>
          <w:color w:val="auto"/>
          <w:lang w:eastAsia="zh-CN"/>
        </w:rPr>
        <w:t>Our vision and mission</w:t>
      </w:r>
    </w:p>
    <w:p w14:paraId="54796326" w14:textId="77777777" w:rsidR="00437D2F" w:rsidRPr="00437D2F" w:rsidRDefault="00437D2F" w:rsidP="004347A7">
      <w:pPr>
        <w:pStyle w:val="ListParagraph"/>
        <w:numPr>
          <w:ilvl w:val="0"/>
          <w:numId w:val="46"/>
        </w:numPr>
        <w:shd w:val="clear" w:color="auto" w:fill="FFFFFF" w:themeFill="background1"/>
        <w:spacing w:after="0" w:line="240" w:lineRule="auto"/>
        <w:jc w:val="both"/>
        <w:textAlignment w:val="baseline"/>
        <w:rPr>
          <w:rFonts w:ascii="Aptos" w:hAnsi="Aptos" w:cs="Arial"/>
          <w:color w:val="auto"/>
          <w:lang w:eastAsia="zh-CN"/>
        </w:rPr>
      </w:pPr>
      <w:r w:rsidRPr="00437D2F">
        <w:rPr>
          <w:rFonts w:ascii="Aptos" w:hAnsi="Aptos" w:cs="Arial"/>
          <w:color w:val="auto"/>
          <w:lang w:eastAsia="zh-CN"/>
        </w:rPr>
        <w:t>The three purposes of a school – education, enrichment and futures</w:t>
      </w:r>
    </w:p>
    <w:p w14:paraId="4FDD82B8" w14:textId="77777777" w:rsidR="00437D2F" w:rsidRPr="00437D2F" w:rsidRDefault="00437D2F" w:rsidP="004347A7">
      <w:pPr>
        <w:pStyle w:val="ListParagraph"/>
        <w:numPr>
          <w:ilvl w:val="0"/>
          <w:numId w:val="46"/>
        </w:numPr>
        <w:shd w:val="clear" w:color="auto" w:fill="FFFFFF" w:themeFill="background1"/>
        <w:spacing w:after="0" w:line="240" w:lineRule="auto"/>
        <w:jc w:val="both"/>
        <w:textAlignment w:val="baseline"/>
        <w:rPr>
          <w:rFonts w:ascii="Aptos" w:hAnsi="Aptos" w:cs="Arial"/>
          <w:color w:val="auto"/>
          <w:lang w:eastAsia="zh-CN"/>
        </w:rPr>
      </w:pPr>
      <w:r w:rsidRPr="00437D2F">
        <w:rPr>
          <w:rFonts w:ascii="Aptos" w:hAnsi="Aptos" w:cs="Arial"/>
          <w:color w:val="auto"/>
          <w:lang w:eastAsia="zh-CN"/>
        </w:rPr>
        <w:t xml:space="preserve">Our values </w:t>
      </w:r>
    </w:p>
    <w:p w14:paraId="34955B51" w14:textId="77777777" w:rsidR="00437D2F" w:rsidRPr="00437D2F" w:rsidRDefault="00437D2F" w:rsidP="00437D2F">
      <w:pPr>
        <w:pStyle w:val="Parasubclause1"/>
        <w:rPr>
          <w:rFonts w:ascii="Aptos" w:hAnsi="Aptos"/>
        </w:rPr>
      </w:pPr>
      <w:r w:rsidRPr="00437D2F">
        <w:rPr>
          <w:rFonts w:ascii="Aptos" w:hAnsi="Aptos"/>
        </w:rPr>
        <w:t>Our five values shape everything we do:</w:t>
      </w:r>
    </w:p>
    <w:p w14:paraId="60DD012C" w14:textId="77777777" w:rsidR="00437D2F" w:rsidRPr="00437D2F" w:rsidRDefault="00437D2F" w:rsidP="004347A7">
      <w:pPr>
        <w:pStyle w:val="ListParagraph"/>
        <w:numPr>
          <w:ilvl w:val="0"/>
          <w:numId w:val="47"/>
        </w:numPr>
        <w:spacing w:after="315"/>
        <w:jc w:val="both"/>
        <w:textAlignment w:val="baseline"/>
        <w:rPr>
          <w:rFonts w:ascii="Aptos" w:hAnsi="Aptos" w:cs="Arial"/>
          <w:lang w:eastAsia="zh-CN"/>
        </w:rPr>
      </w:pPr>
      <w:r w:rsidRPr="00437D2F">
        <w:rPr>
          <w:rFonts w:ascii="Aptos" w:hAnsi="Aptos" w:cs="Arial"/>
          <w:b/>
          <w:bCs/>
          <w:lang w:eastAsia="zh-CN"/>
        </w:rPr>
        <w:t>Ambition</w:t>
      </w:r>
      <w:r w:rsidRPr="00437D2F">
        <w:rPr>
          <w:rFonts w:ascii="Aptos" w:hAnsi="Aptos" w:cs="Arial"/>
          <w:lang w:eastAsia="zh-CN"/>
        </w:rPr>
        <w:t>: We believe everyone can achieve and strive for excellence in all we do.</w:t>
      </w:r>
    </w:p>
    <w:p w14:paraId="1982F185" w14:textId="77777777" w:rsidR="00437D2F" w:rsidRPr="00437D2F" w:rsidRDefault="00437D2F" w:rsidP="004347A7">
      <w:pPr>
        <w:pStyle w:val="ListParagraph"/>
        <w:numPr>
          <w:ilvl w:val="0"/>
          <w:numId w:val="47"/>
        </w:numPr>
        <w:spacing w:after="315"/>
        <w:jc w:val="both"/>
        <w:textAlignment w:val="baseline"/>
        <w:rPr>
          <w:rFonts w:ascii="Aptos" w:hAnsi="Aptos" w:cs="Arial"/>
          <w:lang w:eastAsia="zh-CN"/>
        </w:rPr>
      </w:pPr>
      <w:r w:rsidRPr="00437D2F">
        <w:rPr>
          <w:rFonts w:ascii="Aptos" w:hAnsi="Aptos" w:cs="Arial"/>
          <w:b/>
          <w:bCs/>
          <w:lang w:eastAsia="zh-CN"/>
        </w:rPr>
        <w:t>Learning</w:t>
      </w:r>
      <w:r w:rsidRPr="00437D2F">
        <w:rPr>
          <w:rFonts w:ascii="Aptos" w:hAnsi="Aptos" w:cs="Arial"/>
          <w:lang w:eastAsia="zh-CN"/>
        </w:rPr>
        <w:t>: We are committed to continuous learning, seeing growth and development as the path to improvement.</w:t>
      </w:r>
    </w:p>
    <w:p w14:paraId="4F782A72" w14:textId="77777777" w:rsidR="00437D2F" w:rsidRPr="00437D2F" w:rsidRDefault="00437D2F" w:rsidP="004347A7">
      <w:pPr>
        <w:pStyle w:val="ListParagraph"/>
        <w:numPr>
          <w:ilvl w:val="0"/>
          <w:numId w:val="47"/>
        </w:numPr>
        <w:spacing w:after="315"/>
        <w:jc w:val="both"/>
        <w:textAlignment w:val="baseline"/>
        <w:rPr>
          <w:rFonts w:ascii="Aptos" w:hAnsi="Aptos" w:cs="Arial"/>
          <w:lang w:eastAsia="zh-CN"/>
        </w:rPr>
      </w:pPr>
      <w:r w:rsidRPr="00437D2F">
        <w:rPr>
          <w:rFonts w:ascii="Aptos" w:hAnsi="Aptos" w:cs="Arial"/>
          <w:b/>
          <w:bCs/>
          <w:lang w:eastAsia="zh-CN"/>
        </w:rPr>
        <w:lastRenderedPageBreak/>
        <w:t>Perseverance</w:t>
      </w:r>
      <w:r w:rsidRPr="00437D2F">
        <w:rPr>
          <w:rFonts w:ascii="Aptos" w:hAnsi="Aptos" w:cs="Arial"/>
          <w:lang w:eastAsia="zh-CN"/>
        </w:rPr>
        <w:t xml:space="preserve">: We embrace challenges and grow by tackling difficult things </w:t>
      </w:r>
    </w:p>
    <w:p w14:paraId="50013AEB" w14:textId="77777777" w:rsidR="00437D2F" w:rsidRPr="00437D2F" w:rsidRDefault="00437D2F" w:rsidP="004347A7">
      <w:pPr>
        <w:pStyle w:val="ListParagraph"/>
        <w:numPr>
          <w:ilvl w:val="0"/>
          <w:numId w:val="47"/>
        </w:numPr>
        <w:spacing w:after="315"/>
        <w:jc w:val="both"/>
        <w:textAlignment w:val="baseline"/>
        <w:rPr>
          <w:rFonts w:ascii="Aptos" w:hAnsi="Aptos" w:cs="Arial"/>
          <w:lang w:eastAsia="zh-CN"/>
        </w:rPr>
      </w:pPr>
      <w:r w:rsidRPr="00437D2F">
        <w:rPr>
          <w:rFonts w:ascii="Aptos" w:hAnsi="Aptos" w:cs="Arial"/>
          <w:b/>
          <w:bCs/>
          <w:lang w:eastAsia="zh-CN"/>
        </w:rPr>
        <w:t>Collaboration</w:t>
      </w:r>
      <w:r w:rsidRPr="00437D2F">
        <w:rPr>
          <w:rFonts w:ascii="Aptos" w:hAnsi="Aptos" w:cs="Arial"/>
          <w:lang w:eastAsia="zh-CN"/>
        </w:rPr>
        <w:t>: We achieve more by working together.</w:t>
      </w:r>
    </w:p>
    <w:p w14:paraId="5A3E2B9A" w14:textId="77777777" w:rsidR="00437D2F" w:rsidRPr="00437D2F" w:rsidRDefault="00437D2F" w:rsidP="004347A7">
      <w:pPr>
        <w:pStyle w:val="ListParagraph"/>
        <w:numPr>
          <w:ilvl w:val="0"/>
          <w:numId w:val="47"/>
        </w:numPr>
        <w:spacing w:after="315"/>
        <w:jc w:val="both"/>
        <w:textAlignment w:val="baseline"/>
        <w:rPr>
          <w:rFonts w:ascii="Aptos" w:hAnsi="Aptos" w:cs="Arial"/>
          <w:lang w:eastAsia="zh-CN"/>
        </w:rPr>
      </w:pPr>
      <w:r w:rsidRPr="00437D2F">
        <w:rPr>
          <w:rFonts w:ascii="Aptos" w:hAnsi="Aptos" w:cs="Arial"/>
          <w:b/>
          <w:bCs/>
          <w:lang w:eastAsia="zh-CN"/>
        </w:rPr>
        <w:t>Inclusion:</w:t>
      </w:r>
      <w:r w:rsidRPr="00437D2F">
        <w:rPr>
          <w:rFonts w:ascii="Aptos" w:hAnsi="Aptos" w:cs="Arial"/>
          <w:lang w:eastAsia="zh-CN"/>
        </w:rPr>
        <w:t xml:space="preserve"> We </w:t>
      </w:r>
      <w:proofErr w:type="spellStart"/>
      <w:r w:rsidRPr="00437D2F">
        <w:rPr>
          <w:rFonts w:ascii="Aptos" w:hAnsi="Aptos" w:cs="Arial"/>
          <w:lang w:eastAsia="zh-CN"/>
        </w:rPr>
        <w:t>breakdown</w:t>
      </w:r>
      <w:proofErr w:type="spellEnd"/>
      <w:r w:rsidRPr="00437D2F">
        <w:rPr>
          <w:rFonts w:ascii="Aptos" w:hAnsi="Aptos" w:cs="Arial"/>
          <w:lang w:eastAsia="zh-CN"/>
        </w:rPr>
        <w:t xml:space="preserve"> barriers to ensure everyone can learn, grow and participate.</w:t>
      </w:r>
    </w:p>
    <w:p w14:paraId="59846165" w14:textId="77777777" w:rsidR="00052041" w:rsidRPr="0043347C" w:rsidRDefault="00052041" w:rsidP="0043347C">
      <w:pPr>
        <w:pStyle w:val="Untitledsubclause1"/>
        <w:numPr>
          <w:ilvl w:val="1"/>
          <w:numId w:val="67"/>
        </w:numPr>
        <w:rPr>
          <w:rFonts w:ascii="Aptos" w:hAnsi="Aptos"/>
          <w:b/>
        </w:rPr>
      </w:pPr>
      <w:bookmarkStart w:id="19" w:name="_Toc208856191"/>
      <w:bookmarkStart w:id="20" w:name="_Toc208864818"/>
      <w:r w:rsidRPr="00BD7CFE">
        <w:rPr>
          <w:rFonts w:ascii="Aptos" w:hAnsi="Aptos"/>
          <w:b/>
        </w:rPr>
        <w:t xml:space="preserve">Purpose and </w:t>
      </w:r>
      <w:r w:rsidR="00DA147D" w:rsidRPr="00BD7CFE">
        <w:rPr>
          <w:rFonts w:ascii="Aptos" w:hAnsi="Aptos"/>
          <w:b/>
        </w:rPr>
        <w:t xml:space="preserve">Scope of the </w:t>
      </w:r>
      <w:r w:rsidR="00D6630F" w:rsidRPr="00BD7CFE">
        <w:rPr>
          <w:rFonts w:ascii="Aptos" w:hAnsi="Aptos"/>
          <w:b/>
        </w:rPr>
        <w:t>Framework</w:t>
      </w:r>
      <w:bookmarkEnd w:id="19"/>
      <w:bookmarkEnd w:id="20"/>
    </w:p>
    <w:p w14:paraId="6A258161" w14:textId="77777777" w:rsidR="00BD7CFE" w:rsidRPr="00BD7CFE" w:rsidRDefault="00BD7CFE" w:rsidP="00BD7CFE">
      <w:pPr>
        <w:pStyle w:val="ListParagraph"/>
        <w:numPr>
          <w:ilvl w:val="0"/>
          <w:numId w:val="48"/>
        </w:numPr>
        <w:spacing w:before="280" w:line="300" w:lineRule="atLeast"/>
        <w:contextualSpacing w:val="0"/>
        <w:outlineLvl w:val="1"/>
        <w:rPr>
          <w:rFonts w:ascii="Aptos" w:eastAsia="Arial Unicode MS" w:hAnsi="Aptos" w:cs="Arial"/>
          <w:vanish/>
        </w:rPr>
      </w:pPr>
      <w:bookmarkStart w:id="21" w:name="_Toc208856009"/>
      <w:bookmarkStart w:id="22" w:name="_Toc208856192"/>
      <w:bookmarkStart w:id="23" w:name="_Toc208864819"/>
      <w:bookmarkStart w:id="24" w:name="_Toc208856196"/>
      <w:bookmarkEnd w:id="21"/>
      <w:bookmarkEnd w:id="22"/>
      <w:bookmarkEnd w:id="23"/>
    </w:p>
    <w:p w14:paraId="4C2D47E2" w14:textId="77777777" w:rsidR="00BD7CFE" w:rsidRPr="00BD7CFE" w:rsidRDefault="00BD7CFE" w:rsidP="00BD7CFE">
      <w:pPr>
        <w:pStyle w:val="ListParagraph"/>
        <w:numPr>
          <w:ilvl w:val="1"/>
          <w:numId w:val="48"/>
        </w:numPr>
        <w:spacing w:before="280" w:line="300" w:lineRule="atLeast"/>
        <w:contextualSpacing w:val="0"/>
        <w:outlineLvl w:val="1"/>
        <w:rPr>
          <w:rFonts w:ascii="Aptos" w:eastAsia="Arial Unicode MS" w:hAnsi="Aptos" w:cs="Arial"/>
          <w:vanish/>
        </w:rPr>
      </w:pPr>
      <w:bookmarkStart w:id="25" w:name="_Toc208864820"/>
      <w:bookmarkEnd w:id="25"/>
    </w:p>
    <w:p w14:paraId="22FD0A30" w14:textId="77777777" w:rsidR="00BD7CFE" w:rsidRPr="00BD7CFE" w:rsidRDefault="00BD7CFE" w:rsidP="00BD7CFE">
      <w:pPr>
        <w:pStyle w:val="ListParagraph"/>
        <w:numPr>
          <w:ilvl w:val="1"/>
          <w:numId w:val="48"/>
        </w:numPr>
        <w:spacing w:before="280" w:line="300" w:lineRule="atLeast"/>
        <w:contextualSpacing w:val="0"/>
        <w:outlineLvl w:val="1"/>
        <w:rPr>
          <w:rFonts w:ascii="Aptos" w:eastAsia="Arial Unicode MS" w:hAnsi="Aptos" w:cs="Arial"/>
          <w:vanish/>
        </w:rPr>
      </w:pPr>
      <w:bookmarkStart w:id="26" w:name="_Toc208864821"/>
      <w:bookmarkEnd w:id="26"/>
    </w:p>
    <w:p w14:paraId="2581515C" w14:textId="77777777" w:rsidR="00BD7CFE" w:rsidRPr="00BD7CFE" w:rsidRDefault="00BD7CFE" w:rsidP="00BD7CFE">
      <w:pPr>
        <w:pStyle w:val="ListParagraph"/>
        <w:numPr>
          <w:ilvl w:val="1"/>
          <w:numId w:val="48"/>
        </w:numPr>
        <w:spacing w:before="280" w:line="300" w:lineRule="atLeast"/>
        <w:contextualSpacing w:val="0"/>
        <w:outlineLvl w:val="1"/>
        <w:rPr>
          <w:rFonts w:ascii="Aptos" w:eastAsia="Arial Unicode MS" w:hAnsi="Aptos" w:cs="Arial"/>
          <w:vanish/>
        </w:rPr>
      </w:pPr>
      <w:bookmarkStart w:id="27" w:name="_Toc208864822"/>
      <w:bookmarkEnd w:id="27"/>
    </w:p>
    <w:p w14:paraId="3F494EAC" w14:textId="77777777" w:rsidR="00BD7CFE" w:rsidRPr="00BD7CFE" w:rsidRDefault="00BD7CFE" w:rsidP="00BD7CFE">
      <w:pPr>
        <w:pStyle w:val="ListParagraph"/>
        <w:numPr>
          <w:ilvl w:val="1"/>
          <w:numId w:val="48"/>
        </w:numPr>
        <w:spacing w:before="280" w:line="300" w:lineRule="atLeast"/>
        <w:contextualSpacing w:val="0"/>
        <w:outlineLvl w:val="1"/>
        <w:rPr>
          <w:rFonts w:ascii="Aptos" w:eastAsia="Arial Unicode MS" w:hAnsi="Aptos" w:cs="Arial"/>
          <w:vanish/>
        </w:rPr>
      </w:pPr>
      <w:bookmarkStart w:id="28" w:name="_Toc208864823"/>
      <w:bookmarkEnd w:id="28"/>
    </w:p>
    <w:p w14:paraId="7ED8858E" w14:textId="6D1AFC2D" w:rsidR="00FB18BD" w:rsidRPr="00FB18BD" w:rsidRDefault="00FB18BD" w:rsidP="0043347C">
      <w:pPr>
        <w:pStyle w:val="Untitledsubclause1"/>
        <w:ind w:left="450"/>
        <w:jc w:val="left"/>
        <w:rPr>
          <w:rFonts w:ascii="Aptos" w:hAnsi="Aptos"/>
        </w:rPr>
      </w:pPr>
      <w:bookmarkStart w:id="29" w:name="_Toc208864824"/>
      <w:r w:rsidRPr="00FB18BD">
        <w:rPr>
          <w:rFonts w:ascii="Aptos" w:hAnsi="Aptos"/>
        </w:rPr>
        <w:t xml:space="preserve">Ormiston Academy Trust (the ‘Authority’) (including any entity which from time to time is a subsidiary of Ormiston Academy Trust), wishes to enter into a Framework agreement (the “Framework”) with </w:t>
      </w:r>
      <w:r w:rsidR="00593E93">
        <w:rPr>
          <w:rFonts w:ascii="Aptos" w:hAnsi="Aptos"/>
        </w:rPr>
        <w:t>the successful</w:t>
      </w:r>
      <w:r w:rsidRPr="00FB18BD">
        <w:rPr>
          <w:rFonts w:ascii="Aptos" w:hAnsi="Aptos"/>
        </w:rPr>
        <w:t xml:space="preserve"> Contractor</w:t>
      </w:r>
      <w:r w:rsidR="00593E93">
        <w:rPr>
          <w:rFonts w:ascii="Aptos" w:hAnsi="Aptos"/>
        </w:rPr>
        <w:t>/</w:t>
      </w:r>
      <w:r w:rsidR="00D51999">
        <w:rPr>
          <w:rFonts w:ascii="Aptos" w:hAnsi="Aptos"/>
        </w:rPr>
        <w:t>Contractors</w:t>
      </w:r>
      <w:r w:rsidRPr="00FB18BD">
        <w:rPr>
          <w:rFonts w:ascii="Aptos" w:hAnsi="Aptos"/>
        </w:rPr>
        <w:t xml:space="preserve"> (the ‘Contractor’) to supply Catering Services to the Authority and its Entities</w:t>
      </w:r>
      <w:r w:rsidR="00D613F3">
        <w:rPr>
          <w:rFonts w:ascii="Aptos" w:hAnsi="Aptos"/>
        </w:rPr>
        <w:t xml:space="preserve"> </w:t>
      </w:r>
      <w:r w:rsidR="002B3465">
        <w:rPr>
          <w:rFonts w:ascii="Aptos" w:hAnsi="Aptos"/>
        </w:rPr>
        <w:t xml:space="preserve">across </w:t>
      </w:r>
      <w:r w:rsidR="00365CC5">
        <w:rPr>
          <w:rFonts w:ascii="Aptos" w:hAnsi="Aptos"/>
        </w:rPr>
        <w:t>6 geographical lots</w:t>
      </w:r>
      <w:r w:rsidRPr="00FB18BD">
        <w:rPr>
          <w:rFonts w:ascii="Aptos" w:hAnsi="Aptos"/>
        </w:rPr>
        <w:t>. The Authority is seeking a</w:t>
      </w:r>
      <w:r w:rsidR="00EC65E5">
        <w:rPr>
          <w:rFonts w:ascii="Aptos" w:hAnsi="Aptos"/>
        </w:rPr>
        <w:t xml:space="preserve"> Framework</w:t>
      </w:r>
      <w:r w:rsidRPr="00FB18BD">
        <w:rPr>
          <w:rFonts w:ascii="Aptos" w:hAnsi="Aptos"/>
        </w:rPr>
        <w:t xml:space="preserve"> agreement via competitive Tenders (“Tenders”) from suitably qualified organisations (“Tenderers”) in response to this Invitation to Tender (“ITT”) for the provision of the services </w:t>
      </w:r>
      <w:r w:rsidR="005E3354">
        <w:rPr>
          <w:rFonts w:ascii="Aptos" w:hAnsi="Aptos"/>
        </w:rPr>
        <w:t>de</w:t>
      </w:r>
      <w:r w:rsidR="00AE5446">
        <w:rPr>
          <w:rFonts w:ascii="Aptos" w:hAnsi="Aptos"/>
        </w:rPr>
        <w:t>n</w:t>
      </w:r>
      <w:r w:rsidR="005E3354">
        <w:rPr>
          <w:rFonts w:ascii="Aptos" w:hAnsi="Aptos"/>
        </w:rPr>
        <w:t xml:space="preserve">oted </w:t>
      </w:r>
      <w:r w:rsidR="00F150E0">
        <w:rPr>
          <w:rFonts w:ascii="Aptos" w:hAnsi="Aptos"/>
        </w:rPr>
        <w:t xml:space="preserve">across </w:t>
      </w:r>
      <w:r w:rsidR="00365CC5">
        <w:rPr>
          <w:rFonts w:ascii="Aptos" w:hAnsi="Aptos"/>
        </w:rPr>
        <w:t>6 geographical lots</w:t>
      </w:r>
      <w:r w:rsidR="0016421F">
        <w:rPr>
          <w:rFonts w:ascii="Aptos" w:hAnsi="Aptos"/>
        </w:rPr>
        <w:t xml:space="preserve"> </w:t>
      </w:r>
      <w:r w:rsidR="005E3354">
        <w:rPr>
          <w:rFonts w:ascii="Aptos" w:hAnsi="Aptos"/>
        </w:rPr>
        <w:t xml:space="preserve">in </w:t>
      </w:r>
      <w:r w:rsidR="00AE5446">
        <w:rPr>
          <w:rFonts w:ascii="Aptos" w:hAnsi="Aptos"/>
          <w:b/>
          <w:bCs/>
        </w:rPr>
        <w:t>Schedule 2</w:t>
      </w:r>
      <w:r w:rsidR="005E3354">
        <w:rPr>
          <w:rFonts w:ascii="Aptos" w:hAnsi="Aptos"/>
        </w:rPr>
        <w:t xml:space="preserve"> </w:t>
      </w:r>
      <w:r w:rsidRPr="00FB18BD">
        <w:rPr>
          <w:rFonts w:ascii="Aptos" w:hAnsi="Aptos"/>
        </w:rPr>
        <w:t>(‘Services’).</w:t>
      </w:r>
      <w:bookmarkEnd w:id="24"/>
      <w:bookmarkEnd w:id="29"/>
    </w:p>
    <w:p w14:paraId="5B95ED64" w14:textId="03468D1A" w:rsidR="00A869EF" w:rsidRDefault="009F43EB" w:rsidP="0043347C">
      <w:pPr>
        <w:pStyle w:val="Untitledsubclause1"/>
        <w:ind w:left="360"/>
        <w:jc w:val="left"/>
        <w:rPr>
          <w:rFonts w:ascii="Aptos" w:hAnsi="Aptos"/>
        </w:rPr>
      </w:pPr>
      <w:bookmarkStart w:id="30" w:name="_Toc208856197"/>
      <w:bookmarkStart w:id="31" w:name="_Toc208864825"/>
      <w:r>
        <w:rPr>
          <w:rFonts w:ascii="Aptos" w:hAnsi="Aptos"/>
        </w:rPr>
        <w:t xml:space="preserve">Successful Contractors </w:t>
      </w:r>
      <w:r w:rsidR="00AE5446">
        <w:rPr>
          <w:rFonts w:ascii="Aptos" w:hAnsi="Aptos"/>
        </w:rPr>
        <w:t xml:space="preserve">will be appointed </w:t>
      </w:r>
      <w:r>
        <w:rPr>
          <w:rFonts w:ascii="Aptos" w:hAnsi="Aptos"/>
        </w:rPr>
        <w:t xml:space="preserve">under </w:t>
      </w:r>
      <w:r w:rsidR="00AE5446">
        <w:rPr>
          <w:rFonts w:ascii="Aptos" w:hAnsi="Aptos"/>
        </w:rPr>
        <w:t>each</w:t>
      </w:r>
      <w:r>
        <w:rPr>
          <w:rFonts w:ascii="Aptos" w:hAnsi="Aptos"/>
        </w:rPr>
        <w:t xml:space="preserve"> of the </w:t>
      </w:r>
      <w:r w:rsidR="00365CC5">
        <w:rPr>
          <w:rFonts w:ascii="Aptos" w:hAnsi="Aptos"/>
        </w:rPr>
        <w:t>6 geographical lots</w:t>
      </w:r>
      <w:r>
        <w:rPr>
          <w:rFonts w:ascii="Aptos" w:hAnsi="Aptos"/>
        </w:rPr>
        <w:t xml:space="preserve"> </w:t>
      </w:r>
      <w:r w:rsidR="00AE5446">
        <w:rPr>
          <w:rFonts w:ascii="Aptos" w:hAnsi="Aptos"/>
        </w:rPr>
        <w:t>required</w:t>
      </w:r>
      <w:r w:rsidR="008D627D">
        <w:rPr>
          <w:rFonts w:ascii="Aptos" w:hAnsi="Aptos"/>
        </w:rPr>
        <w:t xml:space="preserve">. </w:t>
      </w:r>
      <w:r w:rsidR="00FB18BD" w:rsidRPr="00FB18BD">
        <w:rPr>
          <w:rFonts w:ascii="Aptos" w:hAnsi="Aptos"/>
        </w:rPr>
        <w:t>Th</w:t>
      </w:r>
      <w:r w:rsidR="00EC65E5">
        <w:rPr>
          <w:rFonts w:ascii="Aptos" w:hAnsi="Aptos"/>
        </w:rPr>
        <w:t>e resulting F</w:t>
      </w:r>
      <w:r w:rsidR="00FB18BD" w:rsidRPr="00FB18BD">
        <w:rPr>
          <w:rFonts w:ascii="Aptos" w:hAnsi="Aptos"/>
        </w:rPr>
        <w:t>rame</w:t>
      </w:r>
      <w:r w:rsidR="008D627D">
        <w:rPr>
          <w:rFonts w:ascii="Aptos" w:hAnsi="Aptos"/>
        </w:rPr>
        <w:t>work</w:t>
      </w:r>
      <w:r w:rsidR="00FB18BD" w:rsidRPr="00FB18BD">
        <w:rPr>
          <w:rFonts w:ascii="Aptos" w:hAnsi="Aptos"/>
        </w:rPr>
        <w:t xml:space="preserve"> is to be made available for </w:t>
      </w:r>
      <w:r w:rsidR="0016421F">
        <w:rPr>
          <w:rFonts w:ascii="Aptos" w:hAnsi="Aptos"/>
        </w:rPr>
        <w:t xml:space="preserve">applicable </w:t>
      </w:r>
      <w:r w:rsidR="00FB18BD" w:rsidRPr="00FB18BD">
        <w:rPr>
          <w:rFonts w:ascii="Aptos" w:hAnsi="Aptos"/>
        </w:rPr>
        <w:t>OAT Academies to use</w:t>
      </w:r>
      <w:r w:rsidR="008D627D">
        <w:rPr>
          <w:rFonts w:ascii="Aptos" w:hAnsi="Aptos"/>
        </w:rPr>
        <w:t xml:space="preserve">, however, </w:t>
      </w:r>
      <w:r w:rsidR="00FC15F9">
        <w:rPr>
          <w:rFonts w:ascii="Aptos" w:hAnsi="Aptos"/>
        </w:rPr>
        <w:t xml:space="preserve">Academies </w:t>
      </w:r>
      <w:r w:rsidR="008423D8">
        <w:rPr>
          <w:rFonts w:ascii="Aptos" w:hAnsi="Aptos"/>
        </w:rPr>
        <w:t xml:space="preserve">are not </w:t>
      </w:r>
      <w:r w:rsidR="00B15CFE">
        <w:rPr>
          <w:rFonts w:ascii="Aptos" w:hAnsi="Aptos"/>
        </w:rPr>
        <w:t>mandated</w:t>
      </w:r>
      <w:r w:rsidR="008423D8">
        <w:rPr>
          <w:rFonts w:ascii="Aptos" w:hAnsi="Aptos"/>
        </w:rPr>
        <w:t xml:space="preserve"> to use the resulting framework</w:t>
      </w:r>
      <w:r w:rsidR="00B15CFE">
        <w:rPr>
          <w:rFonts w:ascii="Aptos" w:hAnsi="Aptos"/>
        </w:rPr>
        <w:t>,</w:t>
      </w:r>
      <w:r w:rsidR="00FA3803">
        <w:rPr>
          <w:rFonts w:ascii="Aptos" w:hAnsi="Aptos"/>
        </w:rPr>
        <w:t xml:space="preserve"> and being appointed onto this Framework should not be construed as a guar</w:t>
      </w:r>
      <w:r w:rsidR="001F7BDE">
        <w:rPr>
          <w:rFonts w:ascii="Aptos" w:hAnsi="Aptos"/>
        </w:rPr>
        <w:t>antee of work for any of the successful Contractors</w:t>
      </w:r>
      <w:r w:rsidR="00A869EF">
        <w:rPr>
          <w:rFonts w:ascii="Aptos" w:hAnsi="Aptos"/>
        </w:rPr>
        <w:t>.</w:t>
      </w:r>
      <w:bookmarkEnd w:id="30"/>
      <w:bookmarkEnd w:id="31"/>
    </w:p>
    <w:p w14:paraId="5388A1A1" w14:textId="715F12EA" w:rsidR="00FB18BD" w:rsidRPr="00FB18BD" w:rsidRDefault="00A869EF" w:rsidP="0043347C">
      <w:pPr>
        <w:pStyle w:val="Untitledsubclause1"/>
        <w:ind w:left="360"/>
        <w:jc w:val="left"/>
        <w:rPr>
          <w:rFonts w:ascii="Aptos" w:hAnsi="Aptos"/>
        </w:rPr>
      </w:pPr>
      <w:bookmarkStart w:id="32" w:name="_Toc208856198"/>
      <w:bookmarkStart w:id="33" w:name="_Toc208864826"/>
      <w:r>
        <w:rPr>
          <w:rFonts w:ascii="Aptos" w:hAnsi="Aptos"/>
        </w:rPr>
        <w:t xml:space="preserve">The </w:t>
      </w:r>
      <w:r w:rsidR="00977D28">
        <w:rPr>
          <w:rFonts w:ascii="Aptos" w:hAnsi="Aptos"/>
        </w:rPr>
        <w:t xml:space="preserve">appointed </w:t>
      </w:r>
      <w:r w:rsidR="00AA1855">
        <w:rPr>
          <w:rFonts w:ascii="Aptos" w:hAnsi="Aptos"/>
        </w:rPr>
        <w:t>F</w:t>
      </w:r>
      <w:r>
        <w:rPr>
          <w:rFonts w:ascii="Aptos" w:hAnsi="Aptos"/>
        </w:rPr>
        <w:t xml:space="preserve">ramework </w:t>
      </w:r>
      <w:r w:rsidR="00AA1855">
        <w:rPr>
          <w:rFonts w:ascii="Aptos" w:hAnsi="Aptos"/>
        </w:rPr>
        <w:t>C</w:t>
      </w:r>
      <w:r w:rsidR="00977D28">
        <w:rPr>
          <w:rFonts w:ascii="Aptos" w:hAnsi="Aptos"/>
        </w:rPr>
        <w:t xml:space="preserve">ontractor </w:t>
      </w:r>
      <w:r>
        <w:rPr>
          <w:rFonts w:ascii="Aptos" w:hAnsi="Aptos"/>
        </w:rPr>
        <w:t xml:space="preserve">or </w:t>
      </w:r>
      <w:r w:rsidR="00AA1855">
        <w:rPr>
          <w:rFonts w:ascii="Aptos" w:hAnsi="Aptos"/>
        </w:rPr>
        <w:t>C</w:t>
      </w:r>
      <w:r>
        <w:rPr>
          <w:rFonts w:ascii="Aptos" w:hAnsi="Aptos"/>
        </w:rPr>
        <w:t>ontract</w:t>
      </w:r>
      <w:r w:rsidR="00AA1855">
        <w:rPr>
          <w:rFonts w:ascii="Aptos" w:hAnsi="Aptos"/>
        </w:rPr>
        <w:t xml:space="preserve">ors (as applicable) in any given geographical lot </w:t>
      </w:r>
      <w:r w:rsidR="00977D28">
        <w:rPr>
          <w:rFonts w:ascii="Aptos" w:hAnsi="Aptos"/>
        </w:rPr>
        <w:t xml:space="preserve">will be invited to participate in any </w:t>
      </w:r>
      <w:r w:rsidR="00AA1855">
        <w:rPr>
          <w:rFonts w:ascii="Aptos" w:hAnsi="Aptos"/>
        </w:rPr>
        <w:t>applicable</w:t>
      </w:r>
      <w:r w:rsidR="00977D28">
        <w:rPr>
          <w:rFonts w:ascii="Aptos" w:hAnsi="Aptos"/>
        </w:rPr>
        <w:t xml:space="preserve"> mini-competitions </w:t>
      </w:r>
      <w:r w:rsidR="00BC39FC">
        <w:rPr>
          <w:rFonts w:ascii="Aptos" w:hAnsi="Aptos"/>
        </w:rPr>
        <w:t xml:space="preserve">to appoint a </w:t>
      </w:r>
      <w:r w:rsidR="00BC39FC" w:rsidRPr="007A4B54">
        <w:rPr>
          <w:rFonts w:ascii="Aptos" w:hAnsi="Aptos"/>
          <w:b/>
          <w:bCs/>
        </w:rPr>
        <w:t xml:space="preserve">single contractor </w:t>
      </w:r>
      <w:r w:rsidR="007A4B54" w:rsidRPr="00003093">
        <w:rPr>
          <w:rFonts w:ascii="Aptos" w:hAnsi="Aptos"/>
        </w:rPr>
        <w:t xml:space="preserve">to provide the Catering services required </w:t>
      </w:r>
      <w:r w:rsidR="00003093" w:rsidRPr="00003093">
        <w:rPr>
          <w:rFonts w:ascii="Aptos" w:hAnsi="Aptos"/>
        </w:rPr>
        <w:t>by the Academy specified in the Mini-Competition request.</w:t>
      </w:r>
      <w:bookmarkEnd w:id="32"/>
      <w:bookmarkEnd w:id="33"/>
    </w:p>
    <w:p w14:paraId="3BAD7FDF" w14:textId="285DDF77" w:rsidR="00FB18BD" w:rsidRPr="00E4710D" w:rsidRDefault="00FB18BD" w:rsidP="0043347C">
      <w:pPr>
        <w:pStyle w:val="Untitledsubclause1"/>
        <w:numPr>
          <w:ilvl w:val="1"/>
          <w:numId w:val="67"/>
        </w:numPr>
        <w:rPr>
          <w:rFonts w:ascii="Aptos" w:hAnsi="Aptos"/>
          <w:b/>
        </w:rPr>
      </w:pPr>
      <w:bookmarkStart w:id="34" w:name="_Toc208856199"/>
      <w:bookmarkStart w:id="35" w:name="_Toc208864827"/>
      <w:r w:rsidRPr="00E4710D">
        <w:rPr>
          <w:rFonts w:ascii="Aptos" w:hAnsi="Aptos"/>
          <w:b/>
        </w:rPr>
        <w:t>Project Aims and Objectives</w:t>
      </w:r>
      <w:bookmarkEnd w:id="34"/>
      <w:bookmarkEnd w:id="35"/>
    </w:p>
    <w:p w14:paraId="6EDEE545" w14:textId="77777777" w:rsidR="00FF1D76" w:rsidRPr="00FF1D76" w:rsidRDefault="00FF1D76" w:rsidP="004347A7">
      <w:pPr>
        <w:pStyle w:val="ListParagraph"/>
        <w:numPr>
          <w:ilvl w:val="0"/>
          <w:numId w:val="49"/>
        </w:numPr>
        <w:spacing w:before="280" w:line="300" w:lineRule="atLeast"/>
        <w:contextualSpacing w:val="0"/>
        <w:jc w:val="both"/>
        <w:outlineLvl w:val="1"/>
        <w:rPr>
          <w:rFonts w:ascii="Aptos" w:eastAsia="Arial Unicode MS" w:hAnsi="Aptos" w:cs="Arial"/>
          <w:vanish/>
        </w:rPr>
      </w:pPr>
      <w:bookmarkStart w:id="36" w:name="_Toc208856017"/>
      <w:bookmarkStart w:id="37" w:name="_Toc208856200"/>
      <w:bookmarkStart w:id="38" w:name="_Toc208864828"/>
      <w:bookmarkEnd w:id="36"/>
      <w:bookmarkEnd w:id="37"/>
      <w:bookmarkEnd w:id="38"/>
    </w:p>
    <w:p w14:paraId="5EA0270E" w14:textId="77777777" w:rsidR="00FF1D76" w:rsidRPr="00FF1D76" w:rsidRDefault="00FF1D76" w:rsidP="004347A7">
      <w:pPr>
        <w:pStyle w:val="ListParagraph"/>
        <w:numPr>
          <w:ilvl w:val="1"/>
          <w:numId w:val="49"/>
        </w:numPr>
        <w:spacing w:before="280" w:line="300" w:lineRule="atLeast"/>
        <w:contextualSpacing w:val="0"/>
        <w:jc w:val="both"/>
        <w:outlineLvl w:val="1"/>
        <w:rPr>
          <w:rFonts w:ascii="Aptos" w:eastAsia="Arial Unicode MS" w:hAnsi="Aptos" w:cs="Arial"/>
          <w:vanish/>
        </w:rPr>
      </w:pPr>
      <w:bookmarkStart w:id="39" w:name="_Toc208856018"/>
      <w:bookmarkStart w:id="40" w:name="_Toc208856201"/>
      <w:bookmarkStart w:id="41" w:name="_Toc208864829"/>
      <w:bookmarkEnd w:id="39"/>
      <w:bookmarkEnd w:id="40"/>
      <w:bookmarkEnd w:id="41"/>
    </w:p>
    <w:p w14:paraId="4CCE33D5" w14:textId="77777777" w:rsidR="00FF1D76" w:rsidRPr="00FF1D76" w:rsidRDefault="00FF1D76" w:rsidP="004347A7">
      <w:pPr>
        <w:pStyle w:val="ListParagraph"/>
        <w:numPr>
          <w:ilvl w:val="1"/>
          <w:numId w:val="49"/>
        </w:numPr>
        <w:spacing w:before="280" w:line="300" w:lineRule="atLeast"/>
        <w:contextualSpacing w:val="0"/>
        <w:jc w:val="both"/>
        <w:outlineLvl w:val="1"/>
        <w:rPr>
          <w:rFonts w:ascii="Aptos" w:eastAsia="Arial Unicode MS" w:hAnsi="Aptos" w:cs="Arial"/>
          <w:vanish/>
        </w:rPr>
      </w:pPr>
      <w:bookmarkStart w:id="42" w:name="_Toc208856019"/>
      <w:bookmarkStart w:id="43" w:name="_Toc208856202"/>
      <w:bookmarkStart w:id="44" w:name="_Toc208864830"/>
      <w:bookmarkEnd w:id="42"/>
      <w:bookmarkEnd w:id="43"/>
      <w:bookmarkEnd w:id="44"/>
    </w:p>
    <w:p w14:paraId="3800FC8C" w14:textId="77777777" w:rsidR="00FF1D76" w:rsidRPr="00FF1D76" w:rsidRDefault="00FF1D76" w:rsidP="004347A7">
      <w:pPr>
        <w:pStyle w:val="ListParagraph"/>
        <w:numPr>
          <w:ilvl w:val="1"/>
          <w:numId w:val="49"/>
        </w:numPr>
        <w:spacing w:before="280" w:line="300" w:lineRule="atLeast"/>
        <w:contextualSpacing w:val="0"/>
        <w:jc w:val="both"/>
        <w:outlineLvl w:val="1"/>
        <w:rPr>
          <w:rFonts w:ascii="Aptos" w:eastAsia="Arial Unicode MS" w:hAnsi="Aptos" w:cs="Arial"/>
          <w:vanish/>
        </w:rPr>
      </w:pPr>
      <w:bookmarkStart w:id="45" w:name="_Toc208856020"/>
      <w:bookmarkStart w:id="46" w:name="_Toc208856203"/>
      <w:bookmarkStart w:id="47" w:name="_Toc208864831"/>
      <w:bookmarkEnd w:id="45"/>
      <w:bookmarkEnd w:id="46"/>
      <w:bookmarkEnd w:id="47"/>
    </w:p>
    <w:p w14:paraId="33A17A5B" w14:textId="77777777" w:rsidR="00FF1D76" w:rsidRPr="00FF1D76" w:rsidRDefault="00FF1D76" w:rsidP="004347A7">
      <w:pPr>
        <w:pStyle w:val="ListParagraph"/>
        <w:numPr>
          <w:ilvl w:val="2"/>
          <w:numId w:val="49"/>
        </w:numPr>
        <w:spacing w:before="280" w:line="300" w:lineRule="atLeast"/>
        <w:contextualSpacing w:val="0"/>
        <w:jc w:val="both"/>
        <w:outlineLvl w:val="1"/>
        <w:rPr>
          <w:rFonts w:ascii="Aptos" w:eastAsia="Arial Unicode MS" w:hAnsi="Aptos" w:cs="Arial"/>
          <w:vanish/>
        </w:rPr>
      </w:pPr>
      <w:bookmarkStart w:id="48" w:name="_Toc208856021"/>
      <w:bookmarkStart w:id="49" w:name="_Toc208856204"/>
      <w:bookmarkStart w:id="50" w:name="_Toc208864832"/>
      <w:bookmarkEnd w:id="48"/>
      <w:bookmarkEnd w:id="49"/>
      <w:bookmarkEnd w:id="50"/>
    </w:p>
    <w:p w14:paraId="25960752" w14:textId="77777777" w:rsidR="00FF1D76" w:rsidRPr="00FF1D76" w:rsidRDefault="00FF1D76" w:rsidP="004347A7">
      <w:pPr>
        <w:pStyle w:val="ListParagraph"/>
        <w:numPr>
          <w:ilvl w:val="2"/>
          <w:numId w:val="49"/>
        </w:numPr>
        <w:spacing w:before="280" w:line="300" w:lineRule="atLeast"/>
        <w:contextualSpacing w:val="0"/>
        <w:jc w:val="both"/>
        <w:outlineLvl w:val="1"/>
        <w:rPr>
          <w:rFonts w:ascii="Aptos" w:eastAsia="Arial Unicode MS" w:hAnsi="Aptos" w:cs="Arial"/>
          <w:vanish/>
        </w:rPr>
      </w:pPr>
      <w:bookmarkStart w:id="51" w:name="_Toc208856022"/>
      <w:bookmarkStart w:id="52" w:name="_Toc208856205"/>
      <w:bookmarkStart w:id="53" w:name="_Toc208864833"/>
      <w:bookmarkEnd w:id="51"/>
      <w:bookmarkEnd w:id="52"/>
      <w:bookmarkEnd w:id="53"/>
    </w:p>
    <w:p w14:paraId="0A0F5473" w14:textId="54DFB7AB" w:rsidR="00FB18BD" w:rsidRPr="00FB18BD" w:rsidRDefault="00FB18BD" w:rsidP="0043347C">
      <w:pPr>
        <w:pStyle w:val="Untitledsubclause1"/>
        <w:ind w:left="450"/>
        <w:rPr>
          <w:rFonts w:ascii="Aptos" w:hAnsi="Aptos"/>
        </w:rPr>
      </w:pPr>
      <w:bookmarkStart w:id="54" w:name="_Toc208856206"/>
      <w:bookmarkStart w:id="55" w:name="_Toc208864834"/>
      <w:r w:rsidRPr="00FB18BD">
        <w:rPr>
          <w:rFonts w:ascii="Aptos" w:hAnsi="Aptos"/>
        </w:rPr>
        <w:t>OAT value the provision of a quality catering service for its pupils, staff and wider community and see the catering provision playing an essential role in promoting the health and welfare of its pupils and staff.</w:t>
      </w:r>
      <w:bookmarkEnd w:id="54"/>
      <w:bookmarkEnd w:id="55"/>
      <w:r w:rsidRPr="00FB18BD">
        <w:rPr>
          <w:rFonts w:ascii="Aptos" w:hAnsi="Aptos"/>
        </w:rPr>
        <w:t xml:space="preserve"> </w:t>
      </w:r>
    </w:p>
    <w:p w14:paraId="7A1216CF" w14:textId="77777777" w:rsidR="00232EA0" w:rsidRPr="00232EA0" w:rsidRDefault="00232EA0" w:rsidP="00232EA0">
      <w:pPr>
        <w:pStyle w:val="ListParagraph"/>
        <w:numPr>
          <w:ilvl w:val="1"/>
          <w:numId w:val="48"/>
        </w:numPr>
        <w:spacing w:before="280" w:line="300" w:lineRule="atLeast"/>
        <w:contextualSpacing w:val="0"/>
        <w:outlineLvl w:val="1"/>
        <w:rPr>
          <w:rFonts w:ascii="Aptos" w:eastAsia="Arial Unicode MS" w:hAnsi="Aptos" w:cs="Arial"/>
          <w:b/>
          <w:bCs/>
          <w:vanish/>
        </w:rPr>
      </w:pPr>
      <w:bookmarkStart w:id="56" w:name="_Toc208864835"/>
      <w:bookmarkStart w:id="57" w:name="_Toc208856207"/>
      <w:bookmarkEnd w:id="56"/>
    </w:p>
    <w:p w14:paraId="0927695E" w14:textId="39367ACF" w:rsidR="00FB18BD" w:rsidRPr="001C2F79" w:rsidRDefault="00FB18BD" w:rsidP="0043347C">
      <w:pPr>
        <w:pStyle w:val="Untitledsubclause1"/>
        <w:numPr>
          <w:ilvl w:val="2"/>
          <w:numId w:val="48"/>
        </w:numPr>
        <w:jc w:val="left"/>
        <w:rPr>
          <w:rFonts w:ascii="Aptos" w:hAnsi="Aptos"/>
          <w:b/>
          <w:bCs/>
        </w:rPr>
      </w:pPr>
      <w:bookmarkStart w:id="58" w:name="_Toc208864836"/>
      <w:r w:rsidRPr="001C2F79">
        <w:rPr>
          <w:rFonts w:ascii="Aptos" w:hAnsi="Aptos"/>
          <w:b/>
          <w:bCs/>
        </w:rPr>
        <w:t>OAT have sought to procure a Framework with the purpose of:</w:t>
      </w:r>
      <w:bookmarkEnd w:id="57"/>
      <w:bookmarkEnd w:id="58"/>
    </w:p>
    <w:p w14:paraId="4801E75B" w14:textId="77777777" w:rsidR="00FB18BD" w:rsidRPr="00FB18BD" w:rsidRDefault="00FB18BD" w:rsidP="004E1091">
      <w:pPr>
        <w:pStyle w:val="Untitledsubclause1"/>
        <w:ind w:left="1080" w:hanging="360"/>
        <w:rPr>
          <w:rFonts w:ascii="Aptos" w:hAnsi="Aptos"/>
        </w:rPr>
      </w:pPr>
      <w:bookmarkStart w:id="59" w:name="_Toc208856208"/>
      <w:bookmarkStart w:id="60" w:name="_Toc208864837"/>
      <w:r w:rsidRPr="00FB18BD">
        <w:rPr>
          <w:rFonts w:ascii="Aptos" w:hAnsi="Aptos"/>
        </w:rPr>
        <w:t>•</w:t>
      </w:r>
      <w:r w:rsidRPr="00FB18BD">
        <w:rPr>
          <w:rFonts w:ascii="Aptos" w:hAnsi="Aptos"/>
        </w:rPr>
        <w:tab/>
        <w:t>Ensuring all academies benefit from a value for money service, ensuring all staff and pupils receive excellent food at a reasonable and fair tariff.</w:t>
      </w:r>
      <w:bookmarkEnd w:id="59"/>
      <w:bookmarkEnd w:id="60"/>
    </w:p>
    <w:p w14:paraId="0C156E58" w14:textId="77777777" w:rsidR="00FB18BD" w:rsidRPr="00FB18BD" w:rsidRDefault="00FB18BD" w:rsidP="004E1091">
      <w:pPr>
        <w:pStyle w:val="Untitledsubclause1"/>
        <w:ind w:left="1080" w:hanging="360"/>
        <w:rPr>
          <w:rFonts w:ascii="Aptos" w:hAnsi="Aptos"/>
        </w:rPr>
      </w:pPr>
      <w:bookmarkStart w:id="61" w:name="_Toc208856209"/>
      <w:bookmarkStart w:id="62" w:name="_Toc208864838"/>
      <w:r w:rsidRPr="00FB18BD">
        <w:rPr>
          <w:rFonts w:ascii="Aptos" w:hAnsi="Aptos"/>
        </w:rPr>
        <w:t>•</w:t>
      </w:r>
      <w:r w:rsidRPr="00FB18BD">
        <w:rPr>
          <w:rFonts w:ascii="Aptos" w:hAnsi="Aptos"/>
        </w:rPr>
        <w:tab/>
        <w:t>Providing a platform for OAT Academies to utilise, thus minimising the administrative burden of re-procurement on an individual basis.</w:t>
      </w:r>
      <w:bookmarkEnd w:id="61"/>
      <w:bookmarkEnd w:id="62"/>
    </w:p>
    <w:p w14:paraId="2D36E91B" w14:textId="77777777" w:rsidR="00FB18BD" w:rsidRPr="00FB18BD" w:rsidRDefault="00FB18BD" w:rsidP="004E1091">
      <w:pPr>
        <w:pStyle w:val="Untitledsubclause1"/>
        <w:ind w:left="1080" w:hanging="360"/>
        <w:rPr>
          <w:rFonts w:ascii="Aptos" w:hAnsi="Aptos"/>
        </w:rPr>
      </w:pPr>
      <w:bookmarkStart w:id="63" w:name="_Toc208856210"/>
      <w:bookmarkStart w:id="64" w:name="_Toc208864839"/>
      <w:r w:rsidRPr="00FB18BD">
        <w:rPr>
          <w:rFonts w:ascii="Aptos" w:hAnsi="Aptos"/>
        </w:rPr>
        <w:t>•</w:t>
      </w:r>
      <w:r w:rsidRPr="00FB18BD">
        <w:rPr>
          <w:rFonts w:ascii="Aptos" w:hAnsi="Aptos"/>
        </w:rPr>
        <w:tab/>
        <w:t>Rationalising providers by facilitating a framework for Academies to utilise, as required.</w:t>
      </w:r>
      <w:bookmarkEnd w:id="63"/>
      <w:bookmarkEnd w:id="64"/>
    </w:p>
    <w:p w14:paraId="2E99810F" w14:textId="77777777" w:rsidR="00FB18BD" w:rsidRPr="00FB18BD" w:rsidRDefault="00FB18BD" w:rsidP="004E1091">
      <w:pPr>
        <w:pStyle w:val="Untitledsubclause1"/>
        <w:ind w:left="1080" w:hanging="360"/>
        <w:rPr>
          <w:rFonts w:ascii="Aptos" w:hAnsi="Aptos"/>
        </w:rPr>
      </w:pPr>
      <w:bookmarkStart w:id="65" w:name="_Toc208856211"/>
      <w:bookmarkStart w:id="66" w:name="_Toc208864840"/>
      <w:r w:rsidRPr="00FB18BD">
        <w:rPr>
          <w:rFonts w:ascii="Aptos" w:hAnsi="Aptos"/>
        </w:rPr>
        <w:t>•</w:t>
      </w:r>
      <w:r w:rsidRPr="00FB18BD">
        <w:rPr>
          <w:rFonts w:ascii="Aptos" w:hAnsi="Aptos"/>
        </w:rPr>
        <w:tab/>
        <w:t>To consider Contractor proposals, relevant and appropriate to each individual academy requirements to enhance and develop the catering service.</w:t>
      </w:r>
      <w:bookmarkEnd w:id="65"/>
      <w:bookmarkEnd w:id="66"/>
    </w:p>
    <w:p w14:paraId="51F8E488" w14:textId="77777777" w:rsidR="00FB18BD" w:rsidRPr="00FB18BD" w:rsidRDefault="00FB18BD" w:rsidP="004E1091">
      <w:pPr>
        <w:pStyle w:val="Untitledsubclause1"/>
        <w:ind w:left="1080" w:hanging="360"/>
        <w:rPr>
          <w:rFonts w:ascii="Aptos" w:hAnsi="Aptos"/>
        </w:rPr>
      </w:pPr>
      <w:bookmarkStart w:id="67" w:name="_Toc208856212"/>
      <w:bookmarkStart w:id="68" w:name="_Toc208864841"/>
      <w:r w:rsidRPr="00FB18BD">
        <w:rPr>
          <w:rFonts w:ascii="Aptos" w:hAnsi="Aptos"/>
        </w:rPr>
        <w:lastRenderedPageBreak/>
        <w:t>•</w:t>
      </w:r>
      <w:r w:rsidRPr="00FB18BD">
        <w:rPr>
          <w:rFonts w:ascii="Aptos" w:hAnsi="Aptos"/>
        </w:rPr>
        <w:tab/>
        <w:t>To develop consistency of standard and delivery across the OAT portfolio of academies.</w:t>
      </w:r>
      <w:bookmarkEnd w:id="67"/>
      <w:bookmarkEnd w:id="68"/>
    </w:p>
    <w:p w14:paraId="54640534" w14:textId="77777777" w:rsidR="00FB18BD" w:rsidRPr="00FB18BD" w:rsidRDefault="00FB18BD" w:rsidP="004E1091">
      <w:pPr>
        <w:pStyle w:val="Untitledsubclause1"/>
        <w:ind w:left="1080" w:hanging="360"/>
        <w:rPr>
          <w:rFonts w:ascii="Aptos" w:hAnsi="Aptos"/>
        </w:rPr>
      </w:pPr>
      <w:bookmarkStart w:id="69" w:name="_Toc208856213"/>
      <w:bookmarkStart w:id="70" w:name="_Toc208864842"/>
      <w:r w:rsidRPr="00FB18BD">
        <w:rPr>
          <w:rFonts w:ascii="Aptos" w:hAnsi="Aptos"/>
        </w:rPr>
        <w:t>•</w:t>
      </w:r>
      <w:r w:rsidRPr="00FB18BD">
        <w:rPr>
          <w:rFonts w:ascii="Aptos" w:hAnsi="Aptos"/>
        </w:rPr>
        <w:tab/>
        <w:t>Seeking a partnership with providers to continue to maximise the opportunity of each Academies catering facilities and to further enhance food experiences for both staff and pupils.</w:t>
      </w:r>
      <w:bookmarkEnd w:id="69"/>
      <w:bookmarkEnd w:id="70"/>
    </w:p>
    <w:p w14:paraId="1C2886E4" w14:textId="77777777" w:rsidR="00FB18BD" w:rsidRPr="00FB18BD" w:rsidRDefault="00FB18BD" w:rsidP="004E1091">
      <w:pPr>
        <w:pStyle w:val="Untitledsubclause1"/>
        <w:ind w:left="1080" w:hanging="360"/>
        <w:rPr>
          <w:rFonts w:ascii="Aptos" w:hAnsi="Aptos"/>
        </w:rPr>
      </w:pPr>
      <w:bookmarkStart w:id="71" w:name="_Toc208856214"/>
      <w:bookmarkStart w:id="72" w:name="_Toc208864843"/>
      <w:r w:rsidRPr="00FB18BD">
        <w:rPr>
          <w:rFonts w:ascii="Aptos" w:hAnsi="Aptos"/>
        </w:rPr>
        <w:t>•</w:t>
      </w:r>
      <w:r w:rsidRPr="00FB18BD">
        <w:rPr>
          <w:rFonts w:ascii="Aptos" w:hAnsi="Aptos"/>
        </w:rPr>
        <w:tab/>
        <w:t>To seek provider commitment to continuous improvement in nutrition and healthy choices for everyone with the OAT community, optimising social value and enhancing the OAT relationship with parents and guardians.</w:t>
      </w:r>
      <w:bookmarkEnd w:id="71"/>
      <w:bookmarkEnd w:id="72"/>
    </w:p>
    <w:p w14:paraId="59CB9AFD" w14:textId="77777777" w:rsidR="00FB18BD" w:rsidRPr="00FB18BD" w:rsidRDefault="00FB18BD" w:rsidP="00FF0C11">
      <w:pPr>
        <w:pStyle w:val="Untitledsubclause1"/>
        <w:ind w:left="1080" w:hanging="360"/>
        <w:rPr>
          <w:rFonts w:ascii="Aptos" w:hAnsi="Aptos"/>
        </w:rPr>
      </w:pPr>
      <w:bookmarkStart w:id="73" w:name="_Toc208856215"/>
      <w:bookmarkStart w:id="74" w:name="_Toc208864844"/>
      <w:r w:rsidRPr="00FB18BD">
        <w:rPr>
          <w:rFonts w:ascii="Aptos" w:hAnsi="Aptos"/>
        </w:rPr>
        <w:t>•</w:t>
      </w:r>
      <w:r w:rsidRPr="00FB18BD">
        <w:rPr>
          <w:rFonts w:ascii="Aptos" w:hAnsi="Aptos"/>
        </w:rPr>
        <w:tab/>
        <w:t xml:space="preserve">To ensure that all aspects of food related curriculum work </w:t>
      </w:r>
      <w:proofErr w:type="gramStart"/>
      <w:r w:rsidRPr="00FB18BD">
        <w:rPr>
          <w:rFonts w:ascii="Aptos" w:hAnsi="Aptos"/>
        </w:rPr>
        <w:t>is</w:t>
      </w:r>
      <w:proofErr w:type="gramEnd"/>
      <w:r w:rsidRPr="00FB18BD">
        <w:rPr>
          <w:rFonts w:ascii="Aptos" w:hAnsi="Aptos"/>
        </w:rPr>
        <w:t xml:space="preserve"> mirrored by the provider.</w:t>
      </w:r>
      <w:bookmarkEnd w:id="73"/>
      <w:bookmarkEnd w:id="74"/>
    </w:p>
    <w:p w14:paraId="7305C4A8" w14:textId="77777777" w:rsidR="00FB18BD" w:rsidRPr="00FB18BD" w:rsidRDefault="00FB18BD" w:rsidP="00FF0C11">
      <w:pPr>
        <w:pStyle w:val="Untitledsubclause1"/>
        <w:ind w:left="1080" w:hanging="360"/>
        <w:rPr>
          <w:rFonts w:ascii="Aptos" w:hAnsi="Aptos"/>
        </w:rPr>
      </w:pPr>
      <w:bookmarkStart w:id="75" w:name="_Toc208856216"/>
      <w:bookmarkStart w:id="76" w:name="_Toc208864845"/>
      <w:r w:rsidRPr="00FB18BD">
        <w:rPr>
          <w:rFonts w:ascii="Aptos" w:hAnsi="Aptos"/>
        </w:rPr>
        <w:t>•</w:t>
      </w:r>
      <w:r w:rsidRPr="00FB18BD">
        <w:rPr>
          <w:rFonts w:ascii="Aptos" w:hAnsi="Aptos"/>
        </w:rPr>
        <w:tab/>
        <w:t>To develop a more effective centralised supplier relationship management structure.</w:t>
      </w:r>
      <w:bookmarkEnd w:id="75"/>
      <w:bookmarkEnd w:id="76"/>
    </w:p>
    <w:p w14:paraId="3F565EB0" w14:textId="77777777" w:rsidR="00FB18BD" w:rsidRPr="00FB18BD" w:rsidRDefault="00FB18BD" w:rsidP="00FF0C11">
      <w:pPr>
        <w:pStyle w:val="Untitledsubclause1"/>
        <w:ind w:left="1080" w:hanging="360"/>
        <w:rPr>
          <w:rFonts w:ascii="Aptos" w:hAnsi="Aptos"/>
        </w:rPr>
      </w:pPr>
      <w:bookmarkStart w:id="77" w:name="_Toc208856217"/>
      <w:bookmarkStart w:id="78" w:name="_Toc208864846"/>
      <w:r w:rsidRPr="00FB18BD">
        <w:rPr>
          <w:rFonts w:ascii="Aptos" w:hAnsi="Aptos"/>
        </w:rPr>
        <w:t>•</w:t>
      </w:r>
      <w:r w:rsidRPr="00FB18BD">
        <w:rPr>
          <w:rFonts w:ascii="Aptos" w:hAnsi="Aptos"/>
        </w:rPr>
        <w:tab/>
        <w:t>To have assurance that providers will have robust systems in place to ensure legal compliance and will comply with the OAT Catering Policy and other subject related OAT policies.</w:t>
      </w:r>
      <w:bookmarkEnd w:id="77"/>
      <w:bookmarkEnd w:id="78"/>
    </w:p>
    <w:p w14:paraId="3CEC150C" w14:textId="77777777" w:rsidR="00394402" w:rsidRDefault="00FB18BD" w:rsidP="007957E0">
      <w:pPr>
        <w:pStyle w:val="Untitledsubclause1"/>
        <w:ind w:left="1080" w:hanging="360"/>
        <w:rPr>
          <w:rFonts w:ascii="Aptos" w:hAnsi="Aptos"/>
        </w:rPr>
      </w:pPr>
      <w:bookmarkStart w:id="79" w:name="_Toc208856218"/>
      <w:bookmarkStart w:id="80" w:name="_Toc208864847"/>
      <w:r w:rsidRPr="00FB18BD">
        <w:rPr>
          <w:rFonts w:ascii="Aptos" w:hAnsi="Aptos"/>
        </w:rPr>
        <w:t>•</w:t>
      </w:r>
      <w:r w:rsidRPr="00FB18BD">
        <w:rPr>
          <w:rFonts w:ascii="Aptos" w:hAnsi="Aptos"/>
        </w:rPr>
        <w:tab/>
        <w:t>Ensuring that accounting mechanisms are transparent to the Academies.</w:t>
      </w:r>
      <w:bookmarkEnd w:id="79"/>
      <w:bookmarkEnd w:id="80"/>
    </w:p>
    <w:p w14:paraId="7040F9D9" w14:textId="77777777" w:rsidR="00232EA0" w:rsidRPr="00232EA0" w:rsidRDefault="00232EA0" w:rsidP="00232EA0">
      <w:pPr>
        <w:pStyle w:val="ListParagraph"/>
        <w:numPr>
          <w:ilvl w:val="1"/>
          <w:numId w:val="49"/>
        </w:numPr>
        <w:spacing w:before="280" w:line="300" w:lineRule="atLeast"/>
        <w:contextualSpacing w:val="0"/>
        <w:outlineLvl w:val="1"/>
        <w:rPr>
          <w:rFonts w:ascii="Aptos" w:eastAsia="Arial Unicode MS" w:hAnsi="Aptos" w:cs="Arial"/>
          <w:b/>
          <w:bCs/>
          <w:vanish/>
        </w:rPr>
      </w:pPr>
      <w:bookmarkStart w:id="81" w:name="_Toc208864848"/>
      <w:bookmarkStart w:id="82" w:name="_Toc208856219"/>
      <w:bookmarkEnd w:id="81"/>
    </w:p>
    <w:p w14:paraId="1D70458E" w14:textId="77777777" w:rsidR="00232EA0" w:rsidRPr="00232EA0" w:rsidRDefault="00232EA0" w:rsidP="00232EA0">
      <w:pPr>
        <w:pStyle w:val="ListParagraph"/>
        <w:numPr>
          <w:ilvl w:val="1"/>
          <w:numId w:val="49"/>
        </w:numPr>
        <w:spacing w:before="280" w:line="300" w:lineRule="atLeast"/>
        <w:contextualSpacing w:val="0"/>
        <w:outlineLvl w:val="1"/>
        <w:rPr>
          <w:rFonts w:ascii="Aptos" w:eastAsia="Arial Unicode MS" w:hAnsi="Aptos" w:cs="Arial"/>
          <w:b/>
          <w:bCs/>
          <w:vanish/>
        </w:rPr>
      </w:pPr>
      <w:bookmarkStart w:id="83" w:name="_Toc208864849"/>
      <w:bookmarkEnd w:id="83"/>
    </w:p>
    <w:p w14:paraId="7E3EE248" w14:textId="77777777" w:rsidR="00232EA0" w:rsidRPr="00232EA0" w:rsidRDefault="00232EA0" w:rsidP="00232EA0">
      <w:pPr>
        <w:pStyle w:val="ListParagraph"/>
        <w:numPr>
          <w:ilvl w:val="2"/>
          <w:numId w:val="49"/>
        </w:numPr>
        <w:spacing w:before="280" w:line="300" w:lineRule="atLeast"/>
        <w:contextualSpacing w:val="0"/>
        <w:outlineLvl w:val="1"/>
        <w:rPr>
          <w:rFonts w:ascii="Aptos" w:eastAsia="Arial Unicode MS" w:hAnsi="Aptos" w:cs="Arial"/>
          <w:b/>
          <w:bCs/>
          <w:vanish/>
        </w:rPr>
      </w:pPr>
      <w:bookmarkStart w:id="84" w:name="_Toc208864850"/>
      <w:bookmarkEnd w:id="84"/>
    </w:p>
    <w:p w14:paraId="50AECA20" w14:textId="77291606" w:rsidR="00E54C5F" w:rsidRPr="00E54C5F" w:rsidRDefault="00D006DE" w:rsidP="00232EA0">
      <w:pPr>
        <w:pStyle w:val="Untitledsubclause1"/>
        <w:numPr>
          <w:ilvl w:val="2"/>
          <w:numId w:val="49"/>
        </w:numPr>
        <w:jc w:val="left"/>
        <w:rPr>
          <w:rFonts w:ascii="Aptos" w:hAnsi="Aptos"/>
          <w:b/>
        </w:rPr>
      </w:pPr>
      <w:bookmarkStart w:id="85" w:name="_Toc208864851"/>
      <w:r>
        <w:rPr>
          <w:rFonts w:ascii="Aptos" w:hAnsi="Aptos"/>
          <w:b/>
          <w:bCs/>
        </w:rPr>
        <w:t xml:space="preserve">Overarching Estimated </w:t>
      </w:r>
      <w:r w:rsidR="00DA147D" w:rsidRPr="00765294">
        <w:rPr>
          <w:rFonts w:ascii="Aptos" w:hAnsi="Aptos"/>
          <w:b/>
          <w:bCs/>
        </w:rPr>
        <w:t>Value</w:t>
      </w:r>
      <w:bookmarkEnd w:id="82"/>
      <w:bookmarkEnd w:id="85"/>
      <w:r w:rsidR="00DA147D" w:rsidRPr="00765294">
        <w:rPr>
          <w:rFonts w:ascii="Aptos" w:hAnsi="Aptos"/>
          <w:b/>
          <w:bCs/>
        </w:rPr>
        <w:t xml:space="preserve"> </w:t>
      </w:r>
    </w:p>
    <w:p w14:paraId="0830D547" w14:textId="77777777" w:rsidR="00857CC5" w:rsidRDefault="00E54C5F" w:rsidP="00E54C5F">
      <w:pPr>
        <w:pStyle w:val="Untitledsubclause1"/>
        <w:ind w:left="720"/>
        <w:jc w:val="left"/>
        <w:rPr>
          <w:rFonts w:ascii="Aptos" w:hAnsi="Aptos"/>
        </w:rPr>
      </w:pPr>
      <w:bookmarkStart w:id="86" w:name="_Toc208856220"/>
      <w:bookmarkStart w:id="87" w:name="_Toc208864852"/>
      <w:r>
        <w:rPr>
          <w:rFonts w:ascii="Aptos" w:hAnsi="Aptos"/>
        </w:rPr>
        <w:t xml:space="preserve">The total value of the Framework is </w:t>
      </w:r>
      <w:r w:rsidR="00AB2B40">
        <w:rPr>
          <w:rFonts w:ascii="Aptos" w:hAnsi="Aptos"/>
        </w:rPr>
        <w:t xml:space="preserve">based on the </w:t>
      </w:r>
      <w:r>
        <w:rPr>
          <w:rFonts w:ascii="Aptos" w:hAnsi="Aptos"/>
        </w:rPr>
        <w:t xml:space="preserve">estimated </w:t>
      </w:r>
      <w:r w:rsidR="00BC5EA5">
        <w:rPr>
          <w:rFonts w:ascii="Aptos" w:hAnsi="Aptos"/>
        </w:rPr>
        <w:t xml:space="preserve">total </w:t>
      </w:r>
      <w:r w:rsidR="00AB2B40">
        <w:rPr>
          <w:rFonts w:ascii="Aptos" w:hAnsi="Aptos"/>
        </w:rPr>
        <w:t xml:space="preserve">value of </w:t>
      </w:r>
      <w:r w:rsidR="009F2C26">
        <w:rPr>
          <w:rFonts w:ascii="Aptos" w:hAnsi="Aptos"/>
        </w:rPr>
        <w:t xml:space="preserve">the envisaged individual Academy </w:t>
      </w:r>
      <w:r w:rsidR="00AB2B40">
        <w:rPr>
          <w:rFonts w:ascii="Aptos" w:hAnsi="Aptos"/>
        </w:rPr>
        <w:t>call-off</w:t>
      </w:r>
      <w:r w:rsidR="009F2C26">
        <w:rPr>
          <w:rFonts w:ascii="Aptos" w:hAnsi="Aptos"/>
        </w:rPr>
        <w:t xml:space="preserve"> Contracts </w:t>
      </w:r>
      <w:r>
        <w:rPr>
          <w:rFonts w:ascii="Aptos" w:hAnsi="Aptos"/>
        </w:rPr>
        <w:t>to be</w:t>
      </w:r>
      <w:r w:rsidR="00BC5EA5">
        <w:rPr>
          <w:rFonts w:ascii="Aptos" w:hAnsi="Aptos"/>
        </w:rPr>
        <w:t xml:space="preserve"> procured</w:t>
      </w:r>
      <w:r w:rsidR="00413A9B">
        <w:rPr>
          <w:rFonts w:ascii="Aptos" w:hAnsi="Aptos"/>
        </w:rPr>
        <w:t xml:space="preserve"> over the life of the Framework.</w:t>
      </w:r>
      <w:bookmarkEnd w:id="86"/>
      <w:bookmarkEnd w:id="87"/>
    </w:p>
    <w:p w14:paraId="3A38D209" w14:textId="7D0A8330" w:rsidR="00DA147D" w:rsidRPr="007617B0" w:rsidRDefault="00857CC5" w:rsidP="001E7F16">
      <w:pPr>
        <w:pStyle w:val="Untitledsubclause1"/>
        <w:ind w:left="720"/>
        <w:jc w:val="left"/>
        <w:rPr>
          <w:rFonts w:ascii="Aptos" w:hAnsi="Aptos"/>
        </w:rPr>
      </w:pPr>
      <w:bookmarkStart w:id="88" w:name="_Toc208856221"/>
      <w:bookmarkStart w:id="89" w:name="_Toc208864853"/>
      <w:r>
        <w:rPr>
          <w:rFonts w:ascii="Aptos" w:hAnsi="Aptos"/>
        </w:rPr>
        <w:t>On this basis</w:t>
      </w:r>
      <w:r w:rsidR="00162E48">
        <w:rPr>
          <w:rFonts w:ascii="Aptos" w:hAnsi="Aptos"/>
        </w:rPr>
        <w:t>, OAT would estimate th</w:t>
      </w:r>
      <w:r w:rsidR="005A3200">
        <w:rPr>
          <w:rFonts w:ascii="Aptos" w:hAnsi="Aptos"/>
        </w:rPr>
        <w:t xml:space="preserve">e total </w:t>
      </w:r>
      <w:r w:rsidR="008376F0" w:rsidRPr="00E14120">
        <w:rPr>
          <w:rFonts w:ascii="Aptos" w:hAnsi="Aptos"/>
          <w:u w:val="single"/>
        </w:rPr>
        <w:t>current</w:t>
      </w:r>
      <w:r w:rsidR="008376F0">
        <w:rPr>
          <w:rFonts w:ascii="Aptos" w:hAnsi="Aptos"/>
        </w:rPr>
        <w:t xml:space="preserve"> </w:t>
      </w:r>
      <w:r w:rsidR="005A3200">
        <w:rPr>
          <w:rFonts w:ascii="Aptos" w:hAnsi="Aptos"/>
        </w:rPr>
        <w:t xml:space="preserve">value of the Framework </w:t>
      </w:r>
      <w:r w:rsidR="003655C0">
        <w:rPr>
          <w:rFonts w:ascii="Aptos" w:hAnsi="Aptos"/>
        </w:rPr>
        <w:t xml:space="preserve">should all current OAT academies utilise the framework would </w:t>
      </w:r>
      <w:r w:rsidR="005A3200">
        <w:rPr>
          <w:rFonts w:ascii="Aptos" w:hAnsi="Aptos"/>
        </w:rPr>
        <w:t>to be</w:t>
      </w:r>
      <w:r w:rsidR="00C5058D">
        <w:rPr>
          <w:rFonts w:ascii="Aptos" w:hAnsi="Aptos"/>
        </w:rPr>
        <w:t xml:space="preserve"> a maximum </w:t>
      </w:r>
      <w:r w:rsidR="00A30691">
        <w:rPr>
          <w:rFonts w:ascii="Aptos" w:hAnsi="Aptos"/>
        </w:rPr>
        <w:t xml:space="preserve">income </w:t>
      </w:r>
      <w:r w:rsidR="00C5058D">
        <w:rPr>
          <w:rFonts w:ascii="Aptos" w:hAnsi="Aptos"/>
        </w:rPr>
        <w:t xml:space="preserve">of </w:t>
      </w:r>
      <w:r w:rsidR="005A3200">
        <w:rPr>
          <w:rFonts w:ascii="Aptos" w:hAnsi="Aptos"/>
        </w:rPr>
        <w:t>£</w:t>
      </w:r>
      <w:r w:rsidR="005A3200" w:rsidRPr="005A3200">
        <w:t xml:space="preserve"> </w:t>
      </w:r>
      <w:r w:rsidR="00630CBC">
        <w:rPr>
          <w:rFonts w:ascii="Aptos" w:hAnsi="Aptos"/>
        </w:rPr>
        <w:t>48.3</w:t>
      </w:r>
      <w:r w:rsidR="00B71158">
        <w:rPr>
          <w:rFonts w:ascii="Aptos" w:hAnsi="Aptos"/>
        </w:rPr>
        <w:t>m</w:t>
      </w:r>
      <w:r w:rsidR="00201985">
        <w:rPr>
          <w:rFonts w:ascii="Aptos" w:hAnsi="Aptos"/>
        </w:rPr>
        <w:t xml:space="preserve"> or £9.6m annually</w:t>
      </w:r>
      <w:r w:rsidR="00B505B2">
        <w:rPr>
          <w:rFonts w:ascii="Aptos" w:hAnsi="Aptos"/>
        </w:rPr>
        <w:t xml:space="preserve"> (based on a typical call-off</w:t>
      </w:r>
      <w:r w:rsidR="00E54C5F">
        <w:rPr>
          <w:rFonts w:ascii="Aptos" w:hAnsi="Aptos"/>
        </w:rPr>
        <w:t xml:space="preserve"> </w:t>
      </w:r>
      <w:r w:rsidR="00B505B2">
        <w:rPr>
          <w:rFonts w:ascii="Aptos" w:hAnsi="Aptos"/>
        </w:rPr>
        <w:t>contract duration of 5 years).</w:t>
      </w:r>
      <w:r w:rsidR="00E47419">
        <w:rPr>
          <w:rFonts w:ascii="Aptos" w:hAnsi="Aptos"/>
        </w:rPr>
        <w:t xml:space="preserve"> A further breakdown of the estimated maximum value per geographical lot is contained in section </w:t>
      </w:r>
      <w:r w:rsidR="0004003B">
        <w:rPr>
          <w:rFonts w:ascii="Aptos" w:hAnsi="Aptos"/>
        </w:rPr>
        <w:t>1.</w:t>
      </w:r>
      <w:r w:rsidR="00884004">
        <w:rPr>
          <w:rFonts w:ascii="Aptos" w:hAnsi="Aptos"/>
        </w:rPr>
        <w:t>5</w:t>
      </w:r>
      <w:r w:rsidR="0004003B">
        <w:rPr>
          <w:rFonts w:ascii="Aptos" w:hAnsi="Aptos"/>
        </w:rPr>
        <w:t>.</w:t>
      </w:r>
      <w:r w:rsidR="00884004">
        <w:rPr>
          <w:rFonts w:ascii="Aptos" w:hAnsi="Aptos"/>
        </w:rPr>
        <w:t>4</w:t>
      </w:r>
      <w:bookmarkEnd w:id="88"/>
      <w:bookmarkEnd w:id="89"/>
    </w:p>
    <w:p w14:paraId="0C03E779" w14:textId="364EF6E9" w:rsidR="00DA147D" w:rsidRPr="001E7F16" w:rsidRDefault="00846BF6" w:rsidP="004347A7">
      <w:pPr>
        <w:pStyle w:val="Untitledsubclause1"/>
        <w:numPr>
          <w:ilvl w:val="2"/>
          <w:numId w:val="49"/>
        </w:numPr>
        <w:ind w:left="720" w:firstLine="0"/>
        <w:jc w:val="left"/>
        <w:rPr>
          <w:rFonts w:ascii="Aptos" w:hAnsi="Aptos"/>
          <w:b/>
        </w:rPr>
      </w:pPr>
      <w:bookmarkStart w:id="90" w:name="_Toc208856222"/>
      <w:bookmarkStart w:id="91" w:name="_Toc208864854"/>
      <w:r>
        <w:rPr>
          <w:rFonts w:ascii="Aptos" w:hAnsi="Aptos"/>
          <w:b/>
          <w:bCs/>
        </w:rPr>
        <w:t>Duration</w:t>
      </w:r>
      <w:r w:rsidR="00DA147D" w:rsidRPr="007617B0">
        <w:rPr>
          <w:rFonts w:ascii="Aptos" w:hAnsi="Aptos"/>
        </w:rPr>
        <w:br/>
      </w:r>
      <w:r w:rsidR="009B016C">
        <w:rPr>
          <w:rFonts w:ascii="Aptos" w:hAnsi="Aptos"/>
        </w:rPr>
        <w:br/>
      </w:r>
      <w:r w:rsidR="00DA04F7" w:rsidRPr="001E7F16">
        <w:rPr>
          <w:rFonts w:ascii="Aptos" w:hAnsi="Aptos"/>
        </w:rPr>
        <w:t>OAT</w:t>
      </w:r>
      <w:r w:rsidR="00DA147D" w:rsidRPr="001E7F16">
        <w:rPr>
          <w:rFonts w:ascii="Aptos" w:hAnsi="Aptos"/>
        </w:rPr>
        <w:t xml:space="preserve"> proposes to enter into </w:t>
      </w:r>
      <w:r w:rsidR="009B016C">
        <w:rPr>
          <w:rFonts w:ascii="Aptos" w:hAnsi="Aptos"/>
        </w:rPr>
        <w:t xml:space="preserve">Contractor Framework Agreements </w:t>
      </w:r>
      <w:r w:rsidR="00DA147D" w:rsidRPr="001E7F16">
        <w:rPr>
          <w:rFonts w:ascii="Aptos" w:hAnsi="Aptos"/>
        </w:rPr>
        <w:t xml:space="preserve">for </w:t>
      </w:r>
      <w:r w:rsidR="003A01C4">
        <w:rPr>
          <w:rFonts w:ascii="Aptos" w:hAnsi="Aptos"/>
        </w:rPr>
        <w:t xml:space="preserve">each geographical </w:t>
      </w:r>
      <w:r w:rsidR="00954990">
        <w:rPr>
          <w:rFonts w:ascii="Aptos" w:hAnsi="Aptos"/>
        </w:rPr>
        <w:t xml:space="preserve">lot for </w:t>
      </w:r>
      <w:r w:rsidR="00DA147D" w:rsidRPr="001E7F16">
        <w:rPr>
          <w:rFonts w:ascii="Aptos" w:hAnsi="Aptos"/>
        </w:rPr>
        <w:t>a maximum period of</w:t>
      </w:r>
      <w:r w:rsidR="005B35E7">
        <w:rPr>
          <w:rFonts w:ascii="Aptos" w:hAnsi="Aptos"/>
        </w:rPr>
        <w:t xml:space="preserve"> 4 years</w:t>
      </w:r>
      <w:r w:rsidR="00954990">
        <w:rPr>
          <w:rFonts w:ascii="Aptos" w:hAnsi="Aptos"/>
        </w:rPr>
        <w:t>,</w:t>
      </w:r>
      <w:r w:rsidR="00424FDC">
        <w:rPr>
          <w:rFonts w:ascii="Aptos" w:hAnsi="Aptos"/>
        </w:rPr>
        <w:t xml:space="preserve"> </w:t>
      </w:r>
      <w:r w:rsidR="00DA147D" w:rsidRPr="001E7F16">
        <w:rPr>
          <w:rFonts w:ascii="Aptos" w:hAnsi="Aptos"/>
        </w:rPr>
        <w:t xml:space="preserve">with the successful Tenderer </w:t>
      </w:r>
      <w:r w:rsidR="005B6A29">
        <w:rPr>
          <w:rFonts w:ascii="Aptos" w:hAnsi="Aptos"/>
        </w:rPr>
        <w:t xml:space="preserve">or Tenderers </w:t>
      </w:r>
      <w:r w:rsidR="00DA147D" w:rsidRPr="001E7F16">
        <w:rPr>
          <w:rFonts w:ascii="Aptos" w:hAnsi="Aptos"/>
        </w:rPr>
        <w:t>(</w:t>
      </w:r>
      <w:r w:rsidR="00DA147D" w:rsidRPr="001E7F16">
        <w:rPr>
          <w:rStyle w:val="DefTerm"/>
          <w:rFonts w:ascii="Aptos" w:hAnsi="Aptos"/>
        </w:rPr>
        <w:t>Service Provider</w:t>
      </w:r>
      <w:r w:rsidR="005B6A29">
        <w:rPr>
          <w:rStyle w:val="DefTerm"/>
          <w:rFonts w:ascii="Aptos" w:hAnsi="Aptos"/>
        </w:rPr>
        <w:t>s</w:t>
      </w:r>
      <w:r w:rsidR="00DA147D" w:rsidRPr="001E7F16">
        <w:rPr>
          <w:rFonts w:ascii="Aptos" w:hAnsi="Aptos"/>
        </w:rPr>
        <w:t>)</w:t>
      </w:r>
      <w:r w:rsidR="005B6A29">
        <w:rPr>
          <w:rFonts w:ascii="Aptos" w:hAnsi="Aptos"/>
        </w:rPr>
        <w:t xml:space="preserve"> for each applicable geographical lot</w:t>
      </w:r>
      <w:r w:rsidR="00B01911">
        <w:rPr>
          <w:rFonts w:ascii="Aptos" w:hAnsi="Aptos"/>
        </w:rPr>
        <w:t>.</w:t>
      </w:r>
      <w:r w:rsidR="007744C6">
        <w:rPr>
          <w:rFonts w:ascii="Aptos" w:hAnsi="Aptos"/>
        </w:rPr>
        <w:t xml:space="preserve"> </w:t>
      </w:r>
      <w:r w:rsidR="00060FA4">
        <w:rPr>
          <w:rFonts w:ascii="Aptos" w:hAnsi="Aptos"/>
        </w:rPr>
        <w:t>All</w:t>
      </w:r>
      <w:r w:rsidR="00727A3A">
        <w:rPr>
          <w:rFonts w:ascii="Aptos" w:hAnsi="Aptos"/>
        </w:rPr>
        <w:t xml:space="preserve"> Framework Suppliers within </w:t>
      </w:r>
      <w:r w:rsidR="002E09D4">
        <w:rPr>
          <w:rFonts w:ascii="Aptos" w:hAnsi="Aptos"/>
        </w:rPr>
        <w:t>each</w:t>
      </w:r>
      <w:r w:rsidR="00727A3A">
        <w:rPr>
          <w:rFonts w:ascii="Aptos" w:hAnsi="Aptos"/>
        </w:rPr>
        <w:t xml:space="preserve"> lot </w:t>
      </w:r>
      <w:r w:rsidR="002E09D4">
        <w:rPr>
          <w:rFonts w:ascii="Aptos" w:hAnsi="Aptos"/>
        </w:rPr>
        <w:t>will then be</w:t>
      </w:r>
      <w:r w:rsidR="00727A3A">
        <w:rPr>
          <w:rFonts w:ascii="Aptos" w:hAnsi="Aptos"/>
        </w:rPr>
        <w:t xml:space="preserve"> invited to participate in a </w:t>
      </w:r>
      <w:r w:rsidR="001710A7">
        <w:rPr>
          <w:rFonts w:ascii="Aptos" w:hAnsi="Aptos"/>
        </w:rPr>
        <w:t>related</w:t>
      </w:r>
      <w:r w:rsidR="00A35F09">
        <w:rPr>
          <w:rFonts w:ascii="Aptos" w:hAnsi="Aptos"/>
        </w:rPr>
        <w:t xml:space="preserve"> mini-competition process</w:t>
      </w:r>
      <w:r w:rsidR="00060FA4">
        <w:rPr>
          <w:rFonts w:ascii="Aptos" w:hAnsi="Aptos"/>
        </w:rPr>
        <w:t xml:space="preserve"> for a specific academy location within the applicable geographical let</w:t>
      </w:r>
      <w:r w:rsidR="000706C5">
        <w:rPr>
          <w:rFonts w:ascii="Aptos" w:hAnsi="Aptos"/>
        </w:rPr>
        <w:t xml:space="preserve">. The call-off period will be stated within the applicable mini-competition </w:t>
      </w:r>
      <w:r w:rsidR="00522880">
        <w:rPr>
          <w:rFonts w:ascii="Aptos" w:hAnsi="Aptos"/>
        </w:rPr>
        <w:t>invitation.</w:t>
      </w:r>
      <w:bookmarkEnd w:id="90"/>
      <w:bookmarkEnd w:id="91"/>
    </w:p>
    <w:p w14:paraId="085B5CDA" w14:textId="77777777" w:rsidR="009C1B33" w:rsidRDefault="00DA147D" w:rsidP="009C1B33">
      <w:pPr>
        <w:pStyle w:val="Parasubclause1"/>
        <w:rPr>
          <w:rFonts w:ascii="Aptos" w:hAnsi="Aptos"/>
          <w:b/>
          <w:bCs/>
        </w:rPr>
      </w:pPr>
      <w:r w:rsidRPr="007617B0">
        <w:rPr>
          <w:rFonts w:ascii="Aptos" w:hAnsi="Aptos"/>
        </w:rPr>
        <w:t xml:space="preserve">The anticipated service commencement date </w:t>
      </w:r>
      <w:r w:rsidR="00B01911">
        <w:rPr>
          <w:rFonts w:ascii="Aptos" w:hAnsi="Aptos"/>
        </w:rPr>
        <w:t xml:space="preserve">for the overarching Framework Agreements </w:t>
      </w:r>
      <w:r w:rsidR="006F7EA4">
        <w:rPr>
          <w:rFonts w:ascii="Aptos" w:hAnsi="Aptos"/>
        </w:rPr>
        <w:t xml:space="preserve">with the successful Service Providers </w:t>
      </w:r>
      <w:r w:rsidRPr="007617B0">
        <w:rPr>
          <w:rFonts w:ascii="Aptos" w:hAnsi="Aptos"/>
        </w:rPr>
        <w:t xml:space="preserve">is </w:t>
      </w:r>
      <w:r w:rsidR="008269DF" w:rsidRPr="006F7EA4">
        <w:rPr>
          <w:rFonts w:ascii="Aptos" w:hAnsi="Aptos"/>
          <w:b/>
          <w:bCs/>
        </w:rPr>
        <w:t xml:space="preserve">1 </w:t>
      </w:r>
      <w:r w:rsidR="006F7EA4" w:rsidRPr="006F7EA4">
        <w:rPr>
          <w:rFonts w:ascii="Aptos" w:hAnsi="Aptos"/>
          <w:b/>
          <w:bCs/>
        </w:rPr>
        <w:t>February 2026.</w:t>
      </w:r>
    </w:p>
    <w:p w14:paraId="61BA8B74" w14:textId="01888266" w:rsidR="00D006DE" w:rsidRPr="00667F1D" w:rsidRDefault="00D006DE" w:rsidP="004347A7">
      <w:pPr>
        <w:pStyle w:val="Parasubclause1"/>
        <w:numPr>
          <w:ilvl w:val="2"/>
          <w:numId w:val="49"/>
        </w:numPr>
        <w:rPr>
          <w:rFonts w:ascii="Aptos" w:hAnsi="Aptos"/>
          <w:b/>
          <w:bCs/>
        </w:rPr>
      </w:pPr>
      <w:r w:rsidRPr="00667F1D">
        <w:rPr>
          <w:rFonts w:ascii="Aptos" w:hAnsi="Aptos"/>
          <w:b/>
          <w:bCs/>
        </w:rPr>
        <w:t>Geograph</w:t>
      </w:r>
      <w:r w:rsidR="009C1B33" w:rsidRPr="00667F1D">
        <w:rPr>
          <w:rFonts w:ascii="Aptos" w:hAnsi="Aptos"/>
          <w:b/>
          <w:bCs/>
        </w:rPr>
        <w:t>ical Lots</w:t>
      </w:r>
    </w:p>
    <w:p w14:paraId="729984BE" w14:textId="33BA16CB" w:rsidR="009F6232" w:rsidRDefault="00EB4B28" w:rsidP="00CA1A98">
      <w:pPr>
        <w:pStyle w:val="Parasubclause1"/>
        <w:rPr>
          <w:rFonts w:ascii="Aptos" w:hAnsi="Aptos"/>
        </w:rPr>
      </w:pPr>
      <w:r>
        <w:rPr>
          <w:rFonts w:ascii="Aptos" w:hAnsi="Aptos"/>
        </w:rPr>
        <w:lastRenderedPageBreak/>
        <w:t>This procurement is split into six separate geographical lots</w:t>
      </w:r>
      <w:r w:rsidR="00040469">
        <w:rPr>
          <w:rFonts w:ascii="Aptos" w:hAnsi="Aptos"/>
        </w:rPr>
        <w:t>. Please refer to the</w:t>
      </w:r>
      <w:r w:rsidR="004F739A">
        <w:rPr>
          <w:rFonts w:ascii="Aptos" w:hAnsi="Aptos"/>
        </w:rPr>
        <w:t xml:space="preserve"> attached </w:t>
      </w:r>
      <w:r w:rsidR="004F739A" w:rsidRPr="002D58FE">
        <w:rPr>
          <w:rFonts w:ascii="Aptos" w:hAnsi="Aptos"/>
          <w:b/>
          <w:bCs/>
        </w:rPr>
        <w:t>Schedule 4 – Site Map</w:t>
      </w:r>
      <w:r w:rsidR="004F739A">
        <w:rPr>
          <w:rFonts w:ascii="Aptos" w:hAnsi="Aptos"/>
        </w:rPr>
        <w:t xml:space="preserve"> for </w:t>
      </w:r>
      <w:r w:rsidR="007275E6">
        <w:rPr>
          <w:rFonts w:ascii="Aptos" w:hAnsi="Aptos"/>
        </w:rPr>
        <w:t xml:space="preserve">specific </w:t>
      </w:r>
      <w:r w:rsidR="00040469">
        <w:rPr>
          <w:rFonts w:ascii="Aptos" w:hAnsi="Aptos"/>
        </w:rPr>
        <w:t>location information regarding OAT’s current academies.</w:t>
      </w:r>
    </w:p>
    <w:p w14:paraId="4B0AA1C8" w14:textId="4C6DC430" w:rsidR="002D58FE" w:rsidRPr="002D58FE" w:rsidRDefault="002D58FE" w:rsidP="002D58FE">
      <w:pPr>
        <w:pStyle w:val="Parasubclause2"/>
        <w:ind w:left="0" w:firstLine="720"/>
        <w:rPr>
          <w:rFonts w:ascii="Aptos" w:hAnsi="Aptos"/>
        </w:rPr>
      </w:pPr>
      <w:r w:rsidRPr="002D58FE">
        <w:rPr>
          <w:rFonts w:ascii="Aptos" w:hAnsi="Aptos"/>
        </w:rPr>
        <w:t xml:space="preserve">Tenderers are invited to bid for any or </w:t>
      </w:r>
      <w:proofErr w:type="gramStart"/>
      <w:r w:rsidRPr="002D58FE">
        <w:rPr>
          <w:rFonts w:ascii="Aptos" w:hAnsi="Aptos"/>
        </w:rPr>
        <w:t xml:space="preserve">all </w:t>
      </w:r>
      <w:r w:rsidR="000E7042">
        <w:rPr>
          <w:rFonts w:ascii="Aptos" w:hAnsi="Aptos"/>
        </w:rPr>
        <w:t>of</w:t>
      </w:r>
      <w:proofErr w:type="gramEnd"/>
      <w:r w:rsidR="000E7042">
        <w:rPr>
          <w:rFonts w:ascii="Aptos" w:hAnsi="Aptos"/>
        </w:rPr>
        <w:t xml:space="preserve"> </w:t>
      </w:r>
      <w:r w:rsidRPr="002D58FE">
        <w:rPr>
          <w:rFonts w:ascii="Aptos" w:hAnsi="Aptos"/>
        </w:rPr>
        <w:t xml:space="preserve">the following </w:t>
      </w:r>
      <w:r w:rsidR="000E7042">
        <w:rPr>
          <w:rFonts w:ascii="Aptos" w:hAnsi="Aptos"/>
        </w:rPr>
        <w:t>geographical l</w:t>
      </w:r>
      <w:r w:rsidRPr="002D58FE">
        <w:rPr>
          <w:rFonts w:ascii="Aptos" w:hAnsi="Aptos"/>
        </w:rPr>
        <w:t>ots:</w:t>
      </w:r>
    </w:p>
    <w:p w14:paraId="77622096" w14:textId="09E66B5B" w:rsidR="002D6379" w:rsidRPr="002D6379" w:rsidRDefault="002D6379" w:rsidP="002D6379">
      <w:pPr>
        <w:pStyle w:val="Parasubclause1"/>
        <w:rPr>
          <w:rFonts w:ascii="Aptos" w:hAnsi="Aptos"/>
        </w:rPr>
      </w:pPr>
      <w:r w:rsidRPr="002D6379">
        <w:rPr>
          <w:rFonts w:ascii="Aptos" w:hAnsi="Aptos"/>
        </w:rPr>
        <w:t xml:space="preserve">Lot 1 – North Region </w:t>
      </w:r>
      <w:r w:rsidR="0004003B">
        <w:rPr>
          <w:rFonts w:ascii="Aptos" w:hAnsi="Aptos"/>
        </w:rPr>
        <w:t xml:space="preserve">(estimated </w:t>
      </w:r>
      <w:r w:rsidR="00BF4397">
        <w:rPr>
          <w:rFonts w:ascii="Aptos" w:hAnsi="Aptos"/>
        </w:rPr>
        <w:t xml:space="preserve">maximum </w:t>
      </w:r>
      <w:r w:rsidR="009C2815">
        <w:rPr>
          <w:rFonts w:ascii="Aptos" w:hAnsi="Aptos"/>
        </w:rPr>
        <w:t xml:space="preserve">value of </w:t>
      </w:r>
      <w:r w:rsidR="00BF4397">
        <w:rPr>
          <w:rFonts w:ascii="Aptos" w:hAnsi="Aptos"/>
        </w:rPr>
        <w:t>£11</w:t>
      </w:r>
      <w:r w:rsidR="00F043C8">
        <w:rPr>
          <w:rFonts w:ascii="Aptos" w:hAnsi="Aptos"/>
        </w:rPr>
        <w:t>.5m, based on 5-year call-offs)</w:t>
      </w:r>
    </w:p>
    <w:p w14:paraId="0A890D10" w14:textId="3FF308E9" w:rsidR="002D6379" w:rsidRPr="002D6379" w:rsidRDefault="002D6379" w:rsidP="002D6379">
      <w:pPr>
        <w:pStyle w:val="Parasubclause1"/>
        <w:rPr>
          <w:rFonts w:ascii="Aptos" w:hAnsi="Aptos"/>
        </w:rPr>
      </w:pPr>
      <w:r w:rsidRPr="002D6379">
        <w:rPr>
          <w:rFonts w:ascii="Aptos" w:hAnsi="Aptos"/>
        </w:rPr>
        <w:t>Lot 2 – Northeast Region</w:t>
      </w:r>
      <w:r w:rsidR="00F043C8">
        <w:rPr>
          <w:rFonts w:ascii="Aptos" w:hAnsi="Aptos"/>
        </w:rPr>
        <w:t xml:space="preserve"> (estimated maximum value of £2.1m, based on 5-year call-offs)</w:t>
      </w:r>
    </w:p>
    <w:p w14:paraId="46C6C7F3" w14:textId="61869660" w:rsidR="002D6379" w:rsidRPr="002D6379" w:rsidRDefault="002D6379" w:rsidP="002D6379">
      <w:pPr>
        <w:pStyle w:val="Parasubclause1"/>
        <w:rPr>
          <w:rFonts w:ascii="Aptos" w:hAnsi="Aptos"/>
        </w:rPr>
      </w:pPr>
      <w:r w:rsidRPr="002D6379">
        <w:rPr>
          <w:rFonts w:ascii="Aptos" w:hAnsi="Aptos"/>
        </w:rPr>
        <w:t xml:space="preserve">Lot 3 – Midlands Region </w:t>
      </w:r>
      <w:r w:rsidR="00F043C8">
        <w:rPr>
          <w:rFonts w:ascii="Aptos" w:hAnsi="Aptos"/>
        </w:rPr>
        <w:t>(estimated maximum value of £14.6m, based on 5-year call-offs)</w:t>
      </w:r>
    </w:p>
    <w:p w14:paraId="52F18467" w14:textId="7167EA84" w:rsidR="002D6379" w:rsidRPr="002D6379" w:rsidRDefault="002D6379" w:rsidP="002D6379">
      <w:pPr>
        <w:pStyle w:val="Parasubclause1"/>
        <w:rPr>
          <w:rFonts w:ascii="Aptos" w:hAnsi="Aptos"/>
        </w:rPr>
      </w:pPr>
      <w:r w:rsidRPr="002D6379">
        <w:rPr>
          <w:rFonts w:ascii="Aptos" w:hAnsi="Aptos"/>
        </w:rPr>
        <w:t>Lot 4 – East Region</w:t>
      </w:r>
      <w:r w:rsidR="00F043C8">
        <w:rPr>
          <w:rFonts w:ascii="Aptos" w:hAnsi="Aptos"/>
        </w:rPr>
        <w:t xml:space="preserve"> (estimated maximum value of £13m, based on 5-year call-offs)</w:t>
      </w:r>
    </w:p>
    <w:p w14:paraId="16713611" w14:textId="643CEDAE" w:rsidR="002D6379" w:rsidRPr="002D6379" w:rsidRDefault="002D6379" w:rsidP="002D6379">
      <w:pPr>
        <w:pStyle w:val="Parasubclause1"/>
        <w:rPr>
          <w:rFonts w:ascii="Aptos" w:hAnsi="Aptos"/>
        </w:rPr>
      </w:pPr>
      <w:r w:rsidRPr="002D6379">
        <w:rPr>
          <w:rFonts w:ascii="Aptos" w:hAnsi="Aptos"/>
        </w:rPr>
        <w:t xml:space="preserve">Lot 5 – London Region </w:t>
      </w:r>
      <w:r w:rsidR="00F043C8">
        <w:rPr>
          <w:rFonts w:ascii="Aptos" w:hAnsi="Aptos"/>
        </w:rPr>
        <w:t>(estimated maximum value of £3m, based on 5-year call-offs)</w:t>
      </w:r>
    </w:p>
    <w:p w14:paraId="78E7593E" w14:textId="12E76F95" w:rsidR="00C90F42" w:rsidRDefault="002D6379" w:rsidP="001A6FF8">
      <w:pPr>
        <w:pStyle w:val="Parasubclause1"/>
        <w:rPr>
          <w:rFonts w:ascii="Aptos" w:hAnsi="Aptos"/>
        </w:rPr>
      </w:pPr>
      <w:r w:rsidRPr="002D6379">
        <w:rPr>
          <w:rFonts w:ascii="Aptos" w:hAnsi="Aptos"/>
        </w:rPr>
        <w:t>Lot 6 – South Region</w:t>
      </w:r>
      <w:r w:rsidR="00F043C8">
        <w:rPr>
          <w:rFonts w:ascii="Aptos" w:hAnsi="Aptos"/>
        </w:rPr>
        <w:t xml:space="preserve"> (estimated maximum value of £</w:t>
      </w:r>
      <w:r w:rsidR="007275E6">
        <w:rPr>
          <w:rFonts w:ascii="Aptos" w:hAnsi="Aptos"/>
        </w:rPr>
        <w:t>4.1</w:t>
      </w:r>
      <w:r w:rsidR="00F043C8">
        <w:rPr>
          <w:rFonts w:ascii="Aptos" w:hAnsi="Aptos"/>
        </w:rPr>
        <w:t>m, based on 5-year call-offs)</w:t>
      </w:r>
    </w:p>
    <w:p w14:paraId="736184A0" w14:textId="1EEBE95E" w:rsidR="00E14120" w:rsidRPr="007617B0" w:rsidRDefault="00AC5109" w:rsidP="001A6FF8">
      <w:pPr>
        <w:pStyle w:val="Parasubclause1"/>
        <w:rPr>
          <w:rFonts w:ascii="Aptos" w:hAnsi="Aptos"/>
          <w:highlight w:val="yellow"/>
        </w:rPr>
      </w:pPr>
      <w:r w:rsidRPr="00AC5109">
        <w:rPr>
          <w:rFonts w:ascii="Aptos" w:hAnsi="Aptos"/>
        </w:rPr>
        <w:t xml:space="preserve">OAT is seeking to </w:t>
      </w:r>
      <w:r>
        <w:rPr>
          <w:rFonts w:ascii="Aptos" w:hAnsi="Aptos"/>
        </w:rPr>
        <w:t>appoint</w:t>
      </w:r>
      <w:r w:rsidRPr="00AC5109">
        <w:rPr>
          <w:rFonts w:ascii="Aptos" w:hAnsi="Aptos"/>
        </w:rPr>
        <w:t xml:space="preserve"> a maximum of seven providers in each </w:t>
      </w:r>
      <w:r>
        <w:rPr>
          <w:rFonts w:ascii="Aptos" w:hAnsi="Aptos"/>
        </w:rPr>
        <w:t>geographical l</w:t>
      </w:r>
      <w:r w:rsidRPr="00AC5109">
        <w:rPr>
          <w:rFonts w:ascii="Aptos" w:hAnsi="Aptos"/>
        </w:rPr>
        <w:t>ot</w:t>
      </w:r>
      <w:r w:rsidR="00871971">
        <w:rPr>
          <w:rFonts w:ascii="Aptos" w:hAnsi="Aptos"/>
        </w:rPr>
        <w:t>, h</w:t>
      </w:r>
      <w:r w:rsidRPr="00AC5109">
        <w:rPr>
          <w:rFonts w:ascii="Aptos" w:hAnsi="Aptos"/>
        </w:rPr>
        <w:t xml:space="preserve">owever, each bid must </w:t>
      </w:r>
      <w:r w:rsidR="00871971">
        <w:rPr>
          <w:rFonts w:ascii="Aptos" w:hAnsi="Aptos"/>
        </w:rPr>
        <w:t>m</w:t>
      </w:r>
      <w:r w:rsidR="00871971" w:rsidRPr="00295608">
        <w:rPr>
          <w:rFonts w:ascii="Aptos" w:hAnsi="Aptos"/>
        </w:rPr>
        <w:t>eet o</w:t>
      </w:r>
      <w:r w:rsidR="00921B6A" w:rsidRPr="00295608">
        <w:rPr>
          <w:rFonts w:ascii="Aptos" w:hAnsi="Aptos"/>
        </w:rPr>
        <w:t>r</w:t>
      </w:r>
      <w:r w:rsidR="00871971" w:rsidRPr="00295608">
        <w:rPr>
          <w:rFonts w:ascii="Aptos" w:hAnsi="Aptos"/>
        </w:rPr>
        <w:t xml:space="preserve"> exceed</w:t>
      </w:r>
      <w:r w:rsidRPr="00295608">
        <w:rPr>
          <w:rFonts w:ascii="Aptos" w:hAnsi="Aptos"/>
        </w:rPr>
        <w:t xml:space="preserve"> an overall combined </w:t>
      </w:r>
      <w:r w:rsidR="008D572A">
        <w:rPr>
          <w:rFonts w:ascii="Aptos" w:hAnsi="Aptos"/>
        </w:rPr>
        <w:t>Commercial</w:t>
      </w:r>
      <w:r w:rsidR="00137FF8">
        <w:rPr>
          <w:rFonts w:ascii="Aptos" w:hAnsi="Aptos"/>
        </w:rPr>
        <w:t>-</w:t>
      </w:r>
      <w:r w:rsidRPr="00295608">
        <w:rPr>
          <w:rFonts w:ascii="Aptos" w:hAnsi="Aptos"/>
        </w:rPr>
        <w:t>Price / Quality</w:t>
      </w:r>
      <w:r w:rsidR="00137FF8">
        <w:rPr>
          <w:rFonts w:ascii="Aptos" w:hAnsi="Aptos"/>
        </w:rPr>
        <w:t>-Technical</w:t>
      </w:r>
      <w:r w:rsidRPr="00295608">
        <w:rPr>
          <w:rFonts w:ascii="Aptos" w:hAnsi="Aptos"/>
        </w:rPr>
        <w:t xml:space="preserve"> score of 55% to gain admittance. Should there be less than seven providers that score 55%</w:t>
      </w:r>
      <w:r w:rsidR="00182FC9" w:rsidRPr="00295608">
        <w:rPr>
          <w:rFonts w:ascii="Aptos" w:hAnsi="Aptos"/>
        </w:rPr>
        <w:t xml:space="preserve"> or more</w:t>
      </w:r>
      <w:r w:rsidRPr="00295608">
        <w:rPr>
          <w:rFonts w:ascii="Aptos" w:hAnsi="Aptos"/>
        </w:rPr>
        <w:t>, only the providers that score at least 55% will be admitted</w:t>
      </w:r>
      <w:r w:rsidR="00182FC9" w:rsidRPr="00295608">
        <w:rPr>
          <w:rFonts w:ascii="Aptos" w:hAnsi="Aptos"/>
        </w:rPr>
        <w:t>.</w:t>
      </w:r>
    </w:p>
    <w:p w14:paraId="5F55F520" w14:textId="77777777" w:rsidR="00DA147D" w:rsidRPr="003918CD" w:rsidRDefault="00DA147D" w:rsidP="0043347C">
      <w:pPr>
        <w:pStyle w:val="Parasubclause1"/>
        <w:numPr>
          <w:ilvl w:val="2"/>
          <w:numId w:val="49"/>
        </w:numPr>
        <w:rPr>
          <w:rFonts w:ascii="Aptos" w:hAnsi="Aptos"/>
          <w:b/>
          <w:bCs/>
        </w:rPr>
      </w:pPr>
      <w:bookmarkStart w:id="92" w:name="a862650"/>
      <w:bookmarkStart w:id="93" w:name="_Toc208856223"/>
      <w:r w:rsidRPr="003918CD">
        <w:rPr>
          <w:rFonts w:ascii="Aptos" w:hAnsi="Aptos"/>
          <w:b/>
          <w:bCs/>
        </w:rPr>
        <w:t>Purpose and scope of this ITT</w:t>
      </w:r>
      <w:bookmarkEnd w:id="92"/>
      <w:bookmarkEnd w:id="93"/>
    </w:p>
    <w:p w14:paraId="7FA9B91E" w14:textId="77777777" w:rsidR="00DA147D" w:rsidRPr="007617B0" w:rsidRDefault="00DA147D" w:rsidP="00CA1A98">
      <w:pPr>
        <w:pStyle w:val="Parasubclause1"/>
        <w:rPr>
          <w:rFonts w:ascii="Aptos" w:hAnsi="Aptos"/>
        </w:rPr>
      </w:pPr>
      <w:r w:rsidRPr="007617B0">
        <w:rPr>
          <w:rFonts w:ascii="Aptos" w:hAnsi="Aptos"/>
        </w:rPr>
        <w:t>This ITT:</w:t>
      </w:r>
    </w:p>
    <w:p w14:paraId="2D2FB4B4" w14:textId="63805B8A" w:rsidR="00DA147D" w:rsidRPr="007617B0" w:rsidRDefault="00DA147D" w:rsidP="00CA1A98">
      <w:pPr>
        <w:pStyle w:val="subclause1Bullet1"/>
        <w:rPr>
          <w:rFonts w:ascii="Aptos" w:hAnsi="Aptos"/>
        </w:rPr>
      </w:pPr>
      <w:r w:rsidRPr="007617B0">
        <w:rPr>
          <w:rFonts w:ascii="Aptos" w:hAnsi="Aptos"/>
        </w:rPr>
        <w:t>Asks Tenderers to submit their Tenders in accordance with the instructions set out in the remainder of this ITT</w:t>
      </w:r>
      <w:r w:rsidR="001A6FF8">
        <w:rPr>
          <w:rFonts w:ascii="Aptos" w:hAnsi="Aptos"/>
        </w:rPr>
        <w:t xml:space="preserve"> and the associated Schedules and Appendices</w:t>
      </w:r>
      <w:r w:rsidRPr="007617B0">
        <w:rPr>
          <w:rFonts w:ascii="Aptos" w:hAnsi="Aptos"/>
        </w:rPr>
        <w:t>.</w:t>
      </w:r>
    </w:p>
    <w:p w14:paraId="1A341A29" w14:textId="77777777" w:rsidR="00DA147D" w:rsidRPr="007617B0" w:rsidRDefault="00DA147D" w:rsidP="00CA1A98">
      <w:pPr>
        <w:pStyle w:val="subclause1Bullet1"/>
        <w:rPr>
          <w:rFonts w:ascii="Aptos" w:hAnsi="Aptos"/>
        </w:rPr>
      </w:pPr>
      <w:r w:rsidRPr="007617B0">
        <w:rPr>
          <w:rFonts w:ascii="Aptos" w:hAnsi="Aptos"/>
        </w:rPr>
        <w:t>Sets out the overall timetable and process for the procurement of Tenders.</w:t>
      </w:r>
    </w:p>
    <w:p w14:paraId="5BDC5648" w14:textId="77777777" w:rsidR="00DA147D" w:rsidRPr="007617B0" w:rsidRDefault="00DA147D" w:rsidP="00CA1A98">
      <w:pPr>
        <w:pStyle w:val="subclause1Bullet1"/>
        <w:rPr>
          <w:rFonts w:ascii="Aptos" w:hAnsi="Aptos"/>
        </w:rPr>
      </w:pPr>
      <w:r w:rsidRPr="007617B0">
        <w:rPr>
          <w:rFonts w:ascii="Aptos" w:hAnsi="Aptos"/>
        </w:rPr>
        <w:t>Provides Tenderers with sufficient information to enable them to submit a compliant Tender (including providing templates where relevant).</w:t>
      </w:r>
    </w:p>
    <w:p w14:paraId="2EE6FB9F" w14:textId="77777777" w:rsidR="00DA147D" w:rsidRPr="007617B0" w:rsidRDefault="00DA147D" w:rsidP="00CA1A98">
      <w:pPr>
        <w:pStyle w:val="subclause1Bullet1"/>
        <w:rPr>
          <w:rFonts w:ascii="Aptos" w:hAnsi="Aptos"/>
        </w:rPr>
      </w:pPr>
      <w:r w:rsidRPr="007617B0">
        <w:rPr>
          <w:rFonts w:ascii="Aptos" w:hAnsi="Aptos"/>
        </w:rPr>
        <w:t>Sets out the Award Criteria and the Tender Evaluation Model that will be used to evaluate the Tenders.</w:t>
      </w:r>
    </w:p>
    <w:p w14:paraId="6E4FD914" w14:textId="77777777" w:rsidR="00DA147D" w:rsidRPr="007617B0" w:rsidRDefault="00DA147D" w:rsidP="00CA1A98">
      <w:pPr>
        <w:pStyle w:val="subclause1Bullet1"/>
        <w:rPr>
          <w:rFonts w:ascii="Aptos" w:hAnsi="Aptos"/>
        </w:rPr>
      </w:pPr>
      <w:r w:rsidRPr="007617B0">
        <w:rPr>
          <w:rFonts w:ascii="Aptos" w:hAnsi="Aptos"/>
        </w:rPr>
        <w:t>Explains the administrative arrangements for the receipt of Tenders.</w:t>
      </w:r>
    </w:p>
    <w:p w14:paraId="16B04366" w14:textId="15BC56BF" w:rsidR="00DA147D" w:rsidRPr="003918CD" w:rsidRDefault="00DA147D" w:rsidP="0043347C">
      <w:pPr>
        <w:pStyle w:val="Parasubclause1"/>
        <w:numPr>
          <w:ilvl w:val="2"/>
          <w:numId w:val="49"/>
        </w:numPr>
        <w:rPr>
          <w:rFonts w:ascii="Aptos" w:hAnsi="Aptos"/>
          <w:b/>
          <w:bCs/>
        </w:rPr>
      </w:pPr>
      <w:bookmarkStart w:id="94" w:name="a817202"/>
      <w:bookmarkStart w:id="95" w:name="_Toc208856224"/>
      <w:r w:rsidRPr="003918CD">
        <w:rPr>
          <w:rFonts w:ascii="Aptos" w:hAnsi="Aptos"/>
          <w:b/>
          <w:bCs/>
        </w:rPr>
        <w:t xml:space="preserve">Clarifications about </w:t>
      </w:r>
      <w:r w:rsidR="00DA04F7" w:rsidRPr="003918CD">
        <w:rPr>
          <w:rFonts w:ascii="Aptos" w:hAnsi="Aptos"/>
          <w:b/>
          <w:bCs/>
        </w:rPr>
        <w:t>the procurement, the Statement of Requirements</w:t>
      </w:r>
      <w:r w:rsidRPr="003918CD">
        <w:rPr>
          <w:rFonts w:ascii="Aptos" w:hAnsi="Aptos"/>
          <w:b/>
          <w:bCs/>
        </w:rPr>
        <w:t xml:space="preserve"> or ITT</w:t>
      </w:r>
      <w:bookmarkEnd w:id="94"/>
      <w:bookmarkEnd w:id="95"/>
    </w:p>
    <w:p w14:paraId="35E1627A" w14:textId="0939292A" w:rsidR="00945546" w:rsidRPr="007617B0" w:rsidRDefault="00945546" w:rsidP="00C01BB0">
      <w:pPr>
        <w:pStyle w:val="TitleClause"/>
        <w:ind w:left="720"/>
        <w:jc w:val="left"/>
        <w:rPr>
          <w:rFonts w:ascii="Aptos" w:hAnsi="Aptos" w:cstheme="minorHAnsi"/>
          <w:b w:val="0"/>
          <w:bCs/>
        </w:rPr>
      </w:pPr>
      <w:bookmarkStart w:id="96" w:name="_Toc208856225"/>
      <w:bookmarkStart w:id="97" w:name="_Toc208864855"/>
      <w:bookmarkStart w:id="98" w:name="a229730"/>
      <w:r w:rsidRPr="007617B0">
        <w:rPr>
          <w:rFonts w:ascii="Aptos" w:hAnsi="Aptos" w:cstheme="minorHAnsi"/>
          <w:b w:val="0"/>
          <w:bCs/>
        </w:rPr>
        <w:lastRenderedPageBreak/>
        <w:t xml:space="preserve">Any clarifications relating to this ITT </w:t>
      </w:r>
      <w:r w:rsidRPr="00E0419D">
        <w:rPr>
          <w:rFonts w:ascii="Aptos" w:hAnsi="Aptos" w:cstheme="minorHAnsi"/>
          <w:b w:val="0"/>
          <w:bCs/>
        </w:rPr>
        <w:t>must be</w:t>
      </w:r>
      <w:r w:rsidRPr="0040049C">
        <w:rPr>
          <w:rFonts w:ascii="Aptos" w:hAnsi="Aptos" w:cstheme="minorHAnsi"/>
          <w:b w:val="0"/>
          <w:bCs/>
        </w:rPr>
        <w:t xml:space="preserve"> submitted through </w:t>
      </w:r>
      <w:hyperlink r:id="rId16" w:history="1">
        <w:r w:rsidR="002614E2" w:rsidRPr="00C01BB0">
          <w:rPr>
            <w:rStyle w:val="Hyperlink"/>
            <w:rFonts w:ascii="Aptos" w:hAnsi="Aptos"/>
            <w:b w:val="0"/>
            <w:bCs/>
            <w:color w:val="0070C0"/>
            <w:u w:val="single"/>
          </w:rPr>
          <w:t>Mercell Tendering Portal</w:t>
        </w:r>
      </w:hyperlink>
      <w:r w:rsidR="00C01BB0" w:rsidRPr="00C01BB0">
        <w:rPr>
          <w:rFonts w:ascii="Aptos" w:hAnsi="Aptos" w:cstheme="minorHAnsi"/>
          <w:b w:val="0"/>
          <w:bCs/>
          <w:color w:val="0070C0"/>
          <w:u w:val="single"/>
        </w:rPr>
        <w:t xml:space="preserve"> </w:t>
      </w:r>
      <w:r w:rsidR="009664D8" w:rsidRPr="00C01BB0">
        <w:rPr>
          <w:rFonts w:ascii="Aptos" w:hAnsi="Aptos" w:cstheme="minorHAnsi"/>
          <w:b w:val="0"/>
          <w:bCs/>
          <w:color w:val="0070C0"/>
          <w:u w:val="single"/>
        </w:rPr>
        <w:t xml:space="preserve"> </w:t>
      </w:r>
      <w:r w:rsidR="00FB47B1" w:rsidRPr="0040049C">
        <w:rPr>
          <w:rFonts w:ascii="Aptos" w:hAnsi="Aptos" w:cstheme="minorHAnsi"/>
          <w:b w:val="0"/>
          <w:bCs/>
        </w:rPr>
        <w:t>(</w:t>
      </w:r>
      <w:r w:rsidR="00A32467" w:rsidRPr="0040049C">
        <w:rPr>
          <w:rFonts w:ascii="Aptos" w:hAnsi="Aptos" w:cstheme="minorHAnsi"/>
        </w:rPr>
        <w:t>the Portal</w:t>
      </w:r>
      <w:r w:rsidR="00A32467" w:rsidRPr="0040049C">
        <w:rPr>
          <w:rFonts w:ascii="Aptos" w:hAnsi="Aptos" w:cstheme="minorHAnsi"/>
          <w:b w:val="0"/>
          <w:bCs/>
        </w:rPr>
        <w:t>)</w:t>
      </w:r>
      <w:r w:rsidR="00E0419D" w:rsidRPr="0040049C">
        <w:rPr>
          <w:rFonts w:ascii="Aptos" w:hAnsi="Aptos" w:cstheme="minorHAnsi"/>
          <w:b w:val="0"/>
          <w:bCs/>
        </w:rPr>
        <w:t>.</w:t>
      </w:r>
      <w:bookmarkEnd w:id="96"/>
      <w:bookmarkEnd w:id="97"/>
    </w:p>
    <w:p w14:paraId="228BA9CE" w14:textId="2EA4ECA1" w:rsidR="00945546" w:rsidRPr="007617B0" w:rsidRDefault="00945546" w:rsidP="00945546">
      <w:pPr>
        <w:pStyle w:val="TitleClause"/>
        <w:ind w:left="720"/>
        <w:rPr>
          <w:rFonts w:ascii="Aptos" w:hAnsi="Aptos" w:cstheme="minorHAnsi"/>
          <w:b w:val="0"/>
          <w:bCs/>
        </w:rPr>
      </w:pPr>
      <w:bookmarkStart w:id="99" w:name="_Toc208856226"/>
      <w:bookmarkStart w:id="100" w:name="_Toc208864856"/>
      <w:r w:rsidRPr="007617B0">
        <w:rPr>
          <w:rFonts w:ascii="Aptos" w:hAnsi="Aptos" w:cstheme="minorHAnsi"/>
          <w:b w:val="0"/>
          <w:bCs/>
        </w:rPr>
        <w:t>OAT will respond to all reasonable clarifications as soon as possible through publishing the Tenderers' questions and OAT’s response to them on the e-tendering portal</w:t>
      </w:r>
      <w:r w:rsidR="000C4C20" w:rsidRPr="007617B0">
        <w:rPr>
          <w:rFonts w:ascii="Aptos" w:hAnsi="Aptos" w:cstheme="minorHAnsi"/>
          <w:b w:val="0"/>
          <w:bCs/>
        </w:rPr>
        <w:t xml:space="preserve"> Questions and Answers section</w:t>
      </w:r>
      <w:r w:rsidRPr="007617B0">
        <w:rPr>
          <w:rFonts w:ascii="Aptos" w:hAnsi="Aptos" w:cstheme="minorHAnsi"/>
          <w:b w:val="0"/>
          <w:bCs/>
        </w:rPr>
        <w:t xml:space="preserve"> (</w:t>
      </w:r>
      <w:r w:rsidRPr="007617B0">
        <w:rPr>
          <w:rStyle w:val="DefTerm"/>
          <w:rFonts w:ascii="Aptos" w:hAnsi="Aptos" w:cstheme="minorHAnsi"/>
          <w:b/>
          <w:bCs/>
        </w:rPr>
        <w:t>Clarifications Log</w:t>
      </w:r>
      <w:r w:rsidRPr="007617B0">
        <w:rPr>
          <w:rFonts w:ascii="Aptos" w:hAnsi="Aptos" w:cstheme="minorHAnsi"/>
          <w:b w:val="0"/>
          <w:bCs/>
        </w:rPr>
        <w:t>).</w:t>
      </w:r>
      <w:bookmarkEnd w:id="99"/>
      <w:bookmarkEnd w:id="100"/>
      <w:r w:rsidRPr="007617B0">
        <w:rPr>
          <w:rFonts w:ascii="Aptos" w:hAnsi="Aptos" w:cstheme="minorHAnsi"/>
          <w:b w:val="0"/>
          <w:bCs/>
        </w:rPr>
        <w:t xml:space="preserve"> </w:t>
      </w:r>
    </w:p>
    <w:p w14:paraId="62FE0240" w14:textId="77777777" w:rsidR="00945546" w:rsidRPr="007617B0" w:rsidRDefault="00945546" w:rsidP="00945546">
      <w:pPr>
        <w:pStyle w:val="TitleClause"/>
        <w:ind w:left="720"/>
        <w:rPr>
          <w:rFonts w:ascii="Aptos" w:hAnsi="Aptos" w:cstheme="minorHAnsi"/>
          <w:b w:val="0"/>
          <w:bCs/>
        </w:rPr>
      </w:pPr>
      <w:bookmarkStart w:id="101" w:name="_Toc208856227"/>
      <w:bookmarkStart w:id="102" w:name="_Toc208864857"/>
      <w:r w:rsidRPr="007617B0">
        <w:rPr>
          <w:rFonts w:ascii="Aptos" w:hAnsi="Aptos" w:cstheme="minorHAnsi"/>
          <w:b w:val="0"/>
          <w:bCs/>
        </w:rPr>
        <w:t xml:space="preserve">The deadline for receipt of clarifications relating to this procurement or this ITT is set out in </w:t>
      </w:r>
      <w:r w:rsidRPr="007617B0">
        <w:rPr>
          <w:rFonts w:ascii="Aptos" w:hAnsi="Aptos" w:cstheme="minorHAnsi"/>
          <w:b w:val="0"/>
          <w:bCs/>
        </w:rPr>
        <w:fldChar w:fldCharType="begin"/>
      </w:r>
      <w:r w:rsidRPr="007617B0">
        <w:rPr>
          <w:rFonts w:ascii="Aptos" w:hAnsi="Aptos" w:cstheme="minorHAnsi"/>
          <w:b w:val="0"/>
          <w:bCs/>
        </w:rPr>
        <w:instrText>PAGEREF a257729\# "'paragraph '"  \h</w:instrText>
      </w:r>
      <w:r w:rsidRPr="007617B0">
        <w:rPr>
          <w:rFonts w:ascii="Aptos" w:hAnsi="Aptos" w:cstheme="minorHAnsi"/>
          <w:b w:val="0"/>
          <w:bCs/>
        </w:rPr>
      </w:r>
      <w:r w:rsidRPr="007617B0">
        <w:rPr>
          <w:rFonts w:ascii="Aptos" w:hAnsi="Aptos" w:cstheme="minorHAnsi"/>
          <w:b w:val="0"/>
          <w:bCs/>
        </w:rPr>
        <w:fldChar w:fldCharType="separate"/>
      </w:r>
      <w:r w:rsidRPr="007617B0">
        <w:rPr>
          <w:rFonts w:ascii="Aptos" w:hAnsi="Aptos" w:cstheme="minorHAnsi"/>
          <w:b w:val="0"/>
          <w:bCs/>
          <w:noProof/>
        </w:rPr>
        <w:t xml:space="preserve">paragraph </w:t>
      </w:r>
      <w:r w:rsidRPr="007617B0">
        <w:rPr>
          <w:rFonts w:ascii="Aptos" w:hAnsi="Aptos" w:cstheme="minorHAnsi"/>
          <w:b w:val="0"/>
          <w:bCs/>
        </w:rPr>
        <w:fldChar w:fldCharType="end"/>
      </w:r>
      <w:r w:rsidRPr="007617B0">
        <w:rPr>
          <w:rFonts w:ascii="Aptos" w:hAnsi="Aptos" w:cstheme="minorHAnsi"/>
          <w:b w:val="0"/>
          <w:bCs/>
        </w:rPr>
        <w:fldChar w:fldCharType="begin"/>
      </w:r>
      <w:r w:rsidRPr="007617B0">
        <w:rPr>
          <w:rFonts w:ascii="Aptos" w:hAnsi="Aptos" w:cstheme="minorHAnsi"/>
          <w:b w:val="0"/>
          <w:bCs/>
          <w:highlight w:val="lightGray"/>
        </w:rPr>
        <w:instrText>REF a257729 \h \w</w:instrText>
      </w:r>
      <w:r w:rsidRPr="007617B0">
        <w:rPr>
          <w:rFonts w:ascii="Aptos" w:hAnsi="Aptos" w:cstheme="minorHAnsi"/>
          <w:b w:val="0"/>
          <w:bCs/>
        </w:rPr>
        <w:instrText xml:space="preserve"> \* MERGEFORMAT </w:instrText>
      </w:r>
      <w:r w:rsidRPr="007617B0">
        <w:rPr>
          <w:rFonts w:ascii="Aptos" w:hAnsi="Aptos" w:cstheme="minorHAnsi"/>
          <w:b w:val="0"/>
          <w:bCs/>
        </w:rPr>
      </w:r>
      <w:r w:rsidRPr="007617B0">
        <w:rPr>
          <w:rFonts w:ascii="Aptos" w:hAnsi="Aptos" w:cstheme="minorHAnsi"/>
          <w:b w:val="0"/>
          <w:bCs/>
        </w:rPr>
        <w:fldChar w:fldCharType="separate"/>
      </w:r>
      <w:r w:rsidRPr="007617B0">
        <w:rPr>
          <w:rFonts w:ascii="Aptos" w:hAnsi="Aptos" w:cstheme="minorHAnsi"/>
          <w:b w:val="0"/>
          <w:bCs/>
        </w:rPr>
        <w:t>2</w:t>
      </w:r>
      <w:r w:rsidRPr="007617B0">
        <w:rPr>
          <w:rFonts w:ascii="Aptos" w:hAnsi="Aptos" w:cstheme="minorHAnsi"/>
          <w:b w:val="0"/>
          <w:bCs/>
        </w:rPr>
        <w:fldChar w:fldCharType="end"/>
      </w:r>
      <w:r w:rsidRPr="007617B0">
        <w:rPr>
          <w:rFonts w:ascii="Aptos" w:hAnsi="Aptos" w:cstheme="minorHAnsi"/>
          <w:b w:val="0"/>
          <w:bCs/>
        </w:rPr>
        <w:t xml:space="preserve"> of this ITT.</w:t>
      </w:r>
      <w:bookmarkEnd w:id="101"/>
      <w:bookmarkEnd w:id="102"/>
    </w:p>
    <w:p w14:paraId="45A936DA" w14:textId="77777777" w:rsidR="00945546" w:rsidRPr="007617B0" w:rsidRDefault="00945546" w:rsidP="00945546">
      <w:pPr>
        <w:pStyle w:val="TitleClause"/>
        <w:ind w:left="720"/>
        <w:rPr>
          <w:rFonts w:ascii="Aptos" w:hAnsi="Aptos" w:cstheme="minorHAnsi"/>
          <w:b w:val="0"/>
          <w:bCs/>
        </w:rPr>
      </w:pPr>
      <w:bookmarkStart w:id="103" w:name="_Toc208856228"/>
      <w:bookmarkStart w:id="104" w:name="_Toc208864858"/>
      <w:r w:rsidRPr="007617B0">
        <w:rPr>
          <w:rFonts w:ascii="Aptos" w:hAnsi="Aptos" w:cstheme="minorHAnsi"/>
          <w:b w:val="0"/>
          <w:bCs/>
        </w:rPr>
        <w:t>Tenderers are advised not to rely on communications from OAT in respect of the procurement, the Statement of Requirements or ITT unless they are made in accordance with these instructions.</w:t>
      </w:r>
      <w:bookmarkEnd w:id="103"/>
      <w:bookmarkEnd w:id="104"/>
    </w:p>
    <w:p w14:paraId="3A4FBE75" w14:textId="77777777" w:rsidR="00DA147D" w:rsidRPr="003918CD" w:rsidRDefault="00DA147D" w:rsidP="0043347C">
      <w:pPr>
        <w:pStyle w:val="Parasubclause1"/>
        <w:numPr>
          <w:ilvl w:val="2"/>
          <w:numId w:val="49"/>
        </w:numPr>
        <w:rPr>
          <w:rFonts w:ascii="Aptos" w:hAnsi="Aptos"/>
          <w:b/>
          <w:bCs/>
        </w:rPr>
      </w:pPr>
      <w:bookmarkStart w:id="105" w:name="_Toc208856229"/>
      <w:r w:rsidRPr="003918CD">
        <w:rPr>
          <w:rFonts w:ascii="Aptos" w:hAnsi="Aptos"/>
          <w:b/>
          <w:bCs/>
        </w:rPr>
        <w:t>Clarifications about the contents of the Tender</w:t>
      </w:r>
      <w:bookmarkEnd w:id="98"/>
      <w:bookmarkEnd w:id="105"/>
    </w:p>
    <w:p w14:paraId="61FC24DB" w14:textId="5AF17341" w:rsidR="00DA147D" w:rsidRPr="007617B0" w:rsidRDefault="00BF626D" w:rsidP="0043347C">
      <w:pPr>
        <w:pStyle w:val="Parasubclause1"/>
      </w:pPr>
      <w:r w:rsidRPr="007617B0">
        <w:rPr>
          <w:rFonts w:ascii="Aptos" w:hAnsi="Aptos"/>
        </w:rPr>
        <w:t>OAT</w:t>
      </w:r>
      <w:r w:rsidR="00DA147D" w:rsidRPr="007617B0">
        <w:rPr>
          <w:rFonts w:ascii="Aptos" w:hAnsi="Aptos"/>
        </w:rPr>
        <w:t xml:space="preserve"> reserves the right (but is not obliged) to seek clarification of any aspect of a Tenderer's Tender during the evaluation phase where necessary for the purposes of carrying out a fair evaluation. Tenderers are asked to respond to such requests promptly. Vague or ambiguous answers are likely to score poorly or render the Tender non-compliant</w:t>
      </w:r>
      <w:r w:rsidR="00CC35E1">
        <w:rPr>
          <w:rFonts w:ascii="Aptos" w:hAnsi="Aptos"/>
        </w:rPr>
        <w:t>. Non-compliant</w:t>
      </w:r>
      <w:r w:rsidR="00E25A17">
        <w:rPr>
          <w:rFonts w:ascii="Aptos" w:hAnsi="Aptos"/>
        </w:rPr>
        <w:t xml:space="preserve"> bids will be excluded from further participation in the tender evaluation process.</w:t>
      </w:r>
      <w:r w:rsidR="00CC35E1">
        <w:rPr>
          <w:rFonts w:ascii="Aptos" w:hAnsi="Aptos"/>
        </w:rPr>
        <w:t xml:space="preserve"> </w:t>
      </w:r>
    </w:p>
    <w:p w14:paraId="211EBFED" w14:textId="77777777" w:rsidR="00DA147D" w:rsidRPr="00893405" w:rsidRDefault="00DA147D" w:rsidP="0043347C">
      <w:pPr>
        <w:pStyle w:val="Untitledsubclause1"/>
        <w:numPr>
          <w:ilvl w:val="0"/>
          <w:numId w:val="66"/>
        </w:numPr>
        <w:rPr>
          <w:rFonts w:ascii="Aptos" w:hAnsi="Aptos"/>
          <w:b/>
        </w:rPr>
      </w:pPr>
      <w:bookmarkStart w:id="106" w:name="a301295"/>
      <w:bookmarkStart w:id="107" w:name="_Toc208864859"/>
      <w:r w:rsidRPr="00893405">
        <w:rPr>
          <w:rFonts w:ascii="Aptos" w:hAnsi="Aptos"/>
          <w:b/>
        </w:rPr>
        <w:t>Key dates</w:t>
      </w:r>
      <w:bookmarkEnd w:id="106"/>
      <w:bookmarkEnd w:id="107"/>
    </w:p>
    <w:p w14:paraId="4A1F0E14" w14:textId="40C097CB" w:rsidR="005E3A7F" w:rsidRPr="00147B45" w:rsidRDefault="00DA147D" w:rsidP="0043347C">
      <w:pPr>
        <w:pStyle w:val="TitleClause"/>
        <w:ind w:left="720"/>
        <w:rPr>
          <w:rFonts w:ascii="Aptos" w:hAnsi="Aptos" w:cstheme="minorHAnsi"/>
          <w:bCs/>
        </w:rPr>
      </w:pPr>
      <w:bookmarkStart w:id="108" w:name="_Toc208856231"/>
      <w:bookmarkStart w:id="109" w:name="_Toc208864860"/>
      <w:r w:rsidRPr="0043347C">
        <w:rPr>
          <w:rFonts w:ascii="Aptos" w:hAnsi="Aptos" w:cstheme="minorHAnsi"/>
          <w:b w:val="0"/>
          <w:bCs/>
        </w:rPr>
        <w:t xml:space="preserve">This </w:t>
      </w:r>
      <w:r w:rsidR="005A4413" w:rsidRPr="0043347C">
        <w:rPr>
          <w:rFonts w:ascii="Aptos" w:hAnsi="Aptos" w:cstheme="minorHAnsi"/>
          <w:b w:val="0"/>
          <w:bCs/>
        </w:rPr>
        <w:t>p</w:t>
      </w:r>
      <w:r w:rsidRPr="0043347C">
        <w:rPr>
          <w:rFonts w:ascii="Aptos" w:hAnsi="Aptos" w:cstheme="minorHAnsi"/>
          <w:b w:val="0"/>
          <w:bCs/>
        </w:rPr>
        <w:t xml:space="preserve">rocurement will follow a clear, structured and transparent process to ensure a fair and level playing field is </w:t>
      </w:r>
      <w:proofErr w:type="gramStart"/>
      <w:r w:rsidRPr="0043347C">
        <w:rPr>
          <w:rFonts w:ascii="Aptos" w:hAnsi="Aptos" w:cstheme="minorHAnsi"/>
          <w:b w:val="0"/>
          <w:bCs/>
        </w:rPr>
        <w:t>maintained at all times</w:t>
      </w:r>
      <w:proofErr w:type="gramEnd"/>
      <w:r w:rsidRPr="0043347C">
        <w:rPr>
          <w:rFonts w:ascii="Aptos" w:hAnsi="Aptos" w:cstheme="minorHAnsi"/>
          <w:b w:val="0"/>
          <w:bCs/>
        </w:rPr>
        <w:t>, and that all Tenderers are treated equally.</w:t>
      </w:r>
      <w:r w:rsidR="005E3A7F" w:rsidRPr="0043347C">
        <w:rPr>
          <w:rFonts w:ascii="Aptos" w:hAnsi="Aptos" w:cstheme="minorHAnsi"/>
          <w:b w:val="0"/>
          <w:bCs/>
        </w:rPr>
        <w:t xml:space="preserve"> The timetable for the </w:t>
      </w:r>
      <w:r w:rsidR="005A4413" w:rsidRPr="0043347C">
        <w:rPr>
          <w:rFonts w:ascii="Aptos" w:hAnsi="Aptos" w:cstheme="minorHAnsi"/>
          <w:b w:val="0"/>
          <w:bCs/>
        </w:rPr>
        <w:t>p</w:t>
      </w:r>
      <w:r w:rsidR="005E3A7F" w:rsidRPr="0043347C">
        <w:rPr>
          <w:rFonts w:ascii="Aptos" w:hAnsi="Aptos" w:cstheme="minorHAnsi"/>
          <w:b w:val="0"/>
          <w:bCs/>
        </w:rPr>
        <w:t xml:space="preserve">rocurement is set out in the following table (the Procurement Timetable). Deadlines for the submission of responses to </w:t>
      </w:r>
      <w:r w:rsidR="00BF626D" w:rsidRPr="0043347C">
        <w:rPr>
          <w:rFonts w:ascii="Aptos" w:hAnsi="Aptos" w:cstheme="minorHAnsi"/>
          <w:b w:val="0"/>
          <w:bCs/>
        </w:rPr>
        <w:t>OAT</w:t>
      </w:r>
      <w:r w:rsidR="005E3A7F" w:rsidRPr="0043347C">
        <w:rPr>
          <w:rFonts w:ascii="Aptos" w:hAnsi="Aptos" w:cstheme="minorHAnsi"/>
          <w:b w:val="0"/>
          <w:bCs/>
        </w:rPr>
        <w:t xml:space="preserve"> are shown in bold. Failure to meet these deadlines will result in </w:t>
      </w:r>
      <w:r w:rsidR="00BF626D" w:rsidRPr="0043347C">
        <w:rPr>
          <w:rFonts w:ascii="Aptos" w:hAnsi="Aptos" w:cstheme="minorHAnsi"/>
          <w:b w:val="0"/>
          <w:bCs/>
        </w:rPr>
        <w:t>a Tenderer’s</w:t>
      </w:r>
      <w:r w:rsidR="005E3A7F" w:rsidRPr="0043347C">
        <w:rPr>
          <w:rFonts w:ascii="Aptos" w:hAnsi="Aptos" w:cstheme="minorHAnsi"/>
          <w:b w:val="0"/>
          <w:bCs/>
        </w:rPr>
        <w:t xml:space="preserve"> submission not being considered unless there are exceptional mitigating circumstances such as a technical failure in connection with </w:t>
      </w:r>
      <w:r w:rsidR="00BF626D" w:rsidRPr="0043347C">
        <w:rPr>
          <w:rFonts w:ascii="Aptos" w:hAnsi="Aptos" w:cstheme="minorHAnsi"/>
          <w:b w:val="0"/>
          <w:bCs/>
        </w:rPr>
        <w:t xml:space="preserve">the procurement </w:t>
      </w:r>
      <w:r w:rsidR="00543B8D" w:rsidRPr="0043347C">
        <w:rPr>
          <w:rFonts w:ascii="Aptos" w:hAnsi="Aptos" w:cstheme="minorHAnsi"/>
          <w:b w:val="0"/>
          <w:bCs/>
        </w:rPr>
        <w:t>P</w:t>
      </w:r>
      <w:r w:rsidR="00BF626D" w:rsidRPr="0043347C">
        <w:rPr>
          <w:rFonts w:ascii="Aptos" w:hAnsi="Aptos" w:cstheme="minorHAnsi"/>
          <w:b w:val="0"/>
          <w:bCs/>
        </w:rPr>
        <w:t>ortal</w:t>
      </w:r>
      <w:r w:rsidR="005E3A7F" w:rsidRPr="0043347C">
        <w:rPr>
          <w:rFonts w:ascii="Aptos" w:hAnsi="Aptos" w:cstheme="minorHAnsi"/>
          <w:b w:val="0"/>
          <w:bCs/>
        </w:rPr>
        <w:t>.</w:t>
      </w:r>
      <w:bookmarkEnd w:id="108"/>
      <w:bookmarkEnd w:id="109"/>
    </w:p>
    <w:p w14:paraId="33B59CD3" w14:textId="7820BB89" w:rsidR="00DA147D" w:rsidRPr="007617B0" w:rsidRDefault="005E3A7F" w:rsidP="00F771B0">
      <w:pPr>
        <w:pStyle w:val="Parasubclause1"/>
        <w:rPr>
          <w:rFonts w:ascii="Aptos" w:hAnsi="Aptos" w:cstheme="minorHAnsi"/>
        </w:rPr>
      </w:pPr>
      <w:r w:rsidRPr="007617B0">
        <w:rPr>
          <w:rFonts w:ascii="Aptos" w:hAnsi="Aptos" w:cstheme="minorHAnsi"/>
        </w:rPr>
        <w:t xml:space="preserve">Please note that </w:t>
      </w:r>
      <w:r w:rsidR="002241EA" w:rsidRPr="007617B0">
        <w:rPr>
          <w:rFonts w:ascii="Aptos" w:hAnsi="Aptos" w:cstheme="minorHAnsi"/>
        </w:rPr>
        <w:t>OAT</w:t>
      </w:r>
      <w:r w:rsidRPr="007617B0">
        <w:rPr>
          <w:rFonts w:ascii="Aptos" w:hAnsi="Aptos" w:cstheme="minorHAnsi"/>
        </w:rPr>
        <w:t xml:space="preserve"> reserves the right, in its absolute discretion, to amend the Procurement Timetable or extend any time</w:t>
      </w:r>
      <w:r w:rsidR="00710353" w:rsidRPr="007617B0">
        <w:rPr>
          <w:rFonts w:ascii="Aptos" w:hAnsi="Aptos" w:cstheme="minorHAnsi"/>
        </w:rPr>
        <w:t>-</w:t>
      </w:r>
      <w:r w:rsidRPr="007617B0">
        <w:rPr>
          <w:rFonts w:ascii="Aptos" w:hAnsi="Aptos" w:cstheme="minorHAnsi"/>
        </w:rPr>
        <w:t xml:space="preserve">period in connection with the </w:t>
      </w:r>
      <w:r w:rsidR="00710353" w:rsidRPr="007617B0">
        <w:rPr>
          <w:rFonts w:ascii="Aptos" w:hAnsi="Aptos" w:cstheme="minorHAnsi"/>
        </w:rPr>
        <w:t>p</w:t>
      </w:r>
      <w:r w:rsidRPr="007617B0">
        <w:rPr>
          <w:rFonts w:ascii="Aptos" w:hAnsi="Aptos" w:cstheme="minorHAnsi"/>
        </w:rPr>
        <w:t xml:space="preserve">rocurement. Any changes to the Procurement Timetable will be notified simultaneously to the </w:t>
      </w:r>
      <w:r w:rsidR="00BF626D" w:rsidRPr="007617B0">
        <w:rPr>
          <w:rFonts w:ascii="Aptos" w:hAnsi="Aptos" w:cstheme="minorHAnsi"/>
        </w:rPr>
        <w:t>Tenderers.</w:t>
      </w:r>
    </w:p>
    <w:p w14:paraId="594E0731" w14:textId="5A42D3DA" w:rsidR="00DA147D" w:rsidRPr="007617B0" w:rsidRDefault="00DA147D" w:rsidP="00CA1A98">
      <w:pPr>
        <w:pStyle w:val="Parasubclause1"/>
        <w:rPr>
          <w:rFonts w:ascii="Aptos" w:hAnsi="Aptos"/>
        </w:rPr>
      </w:pPr>
      <w:r w:rsidRPr="007617B0">
        <w:rPr>
          <w:rFonts w:ascii="Aptos" w:hAnsi="Aptos"/>
        </w:rPr>
        <w:t xml:space="preserve">The key dates for this </w:t>
      </w:r>
      <w:r w:rsidR="00BF626D" w:rsidRPr="007617B0">
        <w:rPr>
          <w:rFonts w:ascii="Aptos" w:hAnsi="Aptos"/>
          <w:b/>
          <w:bCs/>
        </w:rPr>
        <w:t>P</w:t>
      </w:r>
      <w:r w:rsidRPr="007617B0">
        <w:rPr>
          <w:rFonts w:ascii="Aptos" w:hAnsi="Aptos"/>
          <w:b/>
          <w:bCs/>
        </w:rPr>
        <w:t>rocurement</w:t>
      </w:r>
      <w:r w:rsidRPr="007617B0">
        <w:rPr>
          <w:rFonts w:ascii="Aptos" w:hAnsi="Aptos"/>
        </w:rPr>
        <w:t xml:space="preserve"> </w:t>
      </w:r>
      <w:r w:rsidR="00BF626D" w:rsidRPr="007617B0">
        <w:rPr>
          <w:rStyle w:val="DefTerm"/>
          <w:rFonts w:ascii="Aptos" w:hAnsi="Aptos"/>
        </w:rPr>
        <w:t>T</w:t>
      </w:r>
      <w:r w:rsidRPr="007617B0">
        <w:rPr>
          <w:rStyle w:val="DefTerm"/>
          <w:rFonts w:ascii="Aptos" w:hAnsi="Aptos"/>
        </w:rPr>
        <w:t>imetable</w:t>
      </w:r>
      <w:r w:rsidRPr="007617B0">
        <w:rPr>
          <w:rFonts w:ascii="Aptos" w:hAnsi="Aptos"/>
        </w:rPr>
        <w:t xml:space="preserve"> are currently anticipated to be as follows:</w:t>
      </w:r>
    </w:p>
    <w:tbl>
      <w:tblPr>
        <w:tblW w:w="4626" w:type="pct"/>
        <w:tblInd w:w="6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971"/>
        <w:gridCol w:w="4670"/>
      </w:tblGrid>
      <w:tr w:rsidR="00AF2805" w:rsidRPr="007617B0" w14:paraId="1381E2C8" w14:textId="77777777" w:rsidTr="00BF626D">
        <w:tc>
          <w:tcPr>
            <w:tcW w:w="2298" w:type="pct"/>
            <w:tcBorders>
              <w:top w:val="single" w:sz="8" w:space="0" w:color="000000"/>
              <w:left w:val="single" w:sz="8" w:space="0" w:color="000000"/>
              <w:bottom w:val="single" w:sz="8" w:space="0" w:color="000000"/>
              <w:right w:val="single" w:sz="8" w:space="0" w:color="000000"/>
            </w:tcBorders>
          </w:tcPr>
          <w:p w14:paraId="2176DA04" w14:textId="77777777" w:rsidR="00DA147D" w:rsidRPr="007617B0" w:rsidRDefault="00DA147D" w:rsidP="00CA1A98">
            <w:pPr>
              <w:pStyle w:val="Paragraph"/>
              <w:jc w:val="left"/>
              <w:rPr>
                <w:rFonts w:ascii="Aptos" w:hAnsi="Aptos"/>
                <w:b/>
              </w:rPr>
            </w:pPr>
            <w:r w:rsidRPr="007617B0">
              <w:rPr>
                <w:rFonts w:ascii="Aptos" w:hAnsi="Aptos"/>
                <w:b/>
              </w:rPr>
              <w:t>Event</w:t>
            </w:r>
          </w:p>
        </w:tc>
        <w:tc>
          <w:tcPr>
            <w:tcW w:w="2702" w:type="pct"/>
            <w:tcBorders>
              <w:top w:val="single" w:sz="8" w:space="0" w:color="000000"/>
              <w:left w:val="single" w:sz="8" w:space="0" w:color="000000"/>
              <w:bottom w:val="single" w:sz="8" w:space="0" w:color="000000"/>
              <w:right w:val="single" w:sz="8" w:space="0" w:color="000000"/>
            </w:tcBorders>
          </w:tcPr>
          <w:p w14:paraId="67967E8D" w14:textId="77777777" w:rsidR="00DA147D" w:rsidRPr="007617B0" w:rsidRDefault="00DA147D" w:rsidP="00CA1A98">
            <w:pPr>
              <w:pStyle w:val="Paragraph"/>
              <w:jc w:val="left"/>
              <w:rPr>
                <w:rFonts w:ascii="Aptos" w:hAnsi="Aptos"/>
                <w:b/>
              </w:rPr>
            </w:pPr>
            <w:r w:rsidRPr="007617B0">
              <w:rPr>
                <w:rFonts w:ascii="Aptos" w:hAnsi="Aptos"/>
                <w:b/>
              </w:rPr>
              <w:t>Date</w:t>
            </w:r>
          </w:p>
        </w:tc>
      </w:tr>
      <w:tr w:rsidR="00AF2805" w:rsidRPr="007617B0" w14:paraId="6B71F884" w14:textId="77777777" w:rsidTr="005A4413">
        <w:tc>
          <w:tcPr>
            <w:tcW w:w="2298" w:type="pct"/>
            <w:tcBorders>
              <w:top w:val="single" w:sz="8" w:space="0" w:color="000000"/>
              <w:left w:val="single" w:sz="8" w:space="0" w:color="000000"/>
              <w:bottom w:val="single" w:sz="8" w:space="0" w:color="000000"/>
              <w:right w:val="single" w:sz="8" w:space="0" w:color="000000"/>
            </w:tcBorders>
          </w:tcPr>
          <w:p w14:paraId="12ADD0AF" w14:textId="3AC83E32" w:rsidR="00DA147D" w:rsidRPr="00EE2922" w:rsidRDefault="00E32D5A" w:rsidP="00CA1A98">
            <w:pPr>
              <w:pStyle w:val="Paragraph"/>
              <w:jc w:val="left"/>
              <w:rPr>
                <w:rFonts w:ascii="Aptos" w:hAnsi="Aptos"/>
              </w:rPr>
            </w:pPr>
            <w:r w:rsidRPr="00EE2922">
              <w:rPr>
                <w:rFonts w:ascii="Aptos" w:hAnsi="Aptos"/>
              </w:rPr>
              <w:t>Tender Notice</w:t>
            </w:r>
            <w:r w:rsidR="00CE6703" w:rsidRPr="00EE2922">
              <w:rPr>
                <w:rFonts w:ascii="Aptos" w:hAnsi="Aptos"/>
              </w:rPr>
              <w:t xml:space="preserve"> / ITT issued</w:t>
            </w:r>
          </w:p>
        </w:tc>
        <w:tc>
          <w:tcPr>
            <w:tcW w:w="2702" w:type="pct"/>
            <w:tcBorders>
              <w:top w:val="single" w:sz="8" w:space="0" w:color="000000"/>
              <w:left w:val="single" w:sz="8" w:space="0" w:color="000000"/>
              <w:bottom w:val="single" w:sz="8" w:space="0" w:color="000000"/>
              <w:right w:val="single" w:sz="8" w:space="0" w:color="000000"/>
            </w:tcBorders>
          </w:tcPr>
          <w:p w14:paraId="312B769B" w14:textId="0B4EC223" w:rsidR="00DA147D" w:rsidRPr="00A430A9" w:rsidRDefault="00D42870" w:rsidP="00CA1A98">
            <w:pPr>
              <w:pStyle w:val="Paragraph"/>
              <w:jc w:val="left"/>
              <w:rPr>
                <w:rFonts w:ascii="Aptos" w:hAnsi="Aptos"/>
              </w:rPr>
            </w:pPr>
            <w:r w:rsidRPr="00A430A9">
              <w:rPr>
                <w:rFonts w:ascii="Aptos" w:hAnsi="Aptos"/>
              </w:rPr>
              <w:t>1</w:t>
            </w:r>
            <w:r w:rsidR="00424CEF" w:rsidRPr="00A430A9">
              <w:rPr>
                <w:rFonts w:ascii="Aptos" w:hAnsi="Aptos"/>
              </w:rPr>
              <w:t>9</w:t>
            </w:r>
            <w:r w:rsidRPr="00A430A9">
              <w:rPr>
                <w:rFonts w:ascii="Aptos" w:hAnsi="Aptos"/>
              </w:rPr>
              <w:t xml:space="preserve"> September 2025</w:t>
            </w:r>
          </w:p>
        </w:tc>
      </w:tr>
      <w:tr w:rsidR="005A30CB" w:rsidRPr="007617B0" w14:paraId="79B4B28F" w14:textId="77777777" w:rsidTr="005A4413">
        <w:tc>
          <w:tcPr>
            <w:tcW w:w="2298" w:type="pct"/>
            <w:tcBorders>
              <w:top w:val="single" w:sz="8" w:space="0" w:color="000000"/>
              <w:left w:val="single" w:sz="8" w:space="0" w:color="000000"/>
              <w:bottom w:val="single" w:sz="8" w:space="0" w:color="000000"/>
              <w:right w:val="single" w:sz="8" w:space="0" w:color="000000"/>
            </w:tcBorders>
          </w:tcPr>
          <w:p w14:paraId="319D71E5" w14:textId="1CC9FECF" w:rsidR="005A30CB" w:rsidRPr="00EE2922" w:rsidRDefault="005A30CB" w:rsidP="005A30CB">
            <w:pPr>
              <w:pStyle w:val="Paragraph"/>
              <w:jc w:val="left"/>
              <w:rPr>
                <w:rFonts w:ascii="Aptos" w:hAnsi="Aptos"/>
              </w:rPr>
            </w:pPr>
            <w:r w:rsidRPr="00EE2922">
              <w:rPr>
                <w:rFonts w:ascii="Aptos" w:hAnsi="Aptos"/>
              </w:rPr>
              <w:t>Deadline for receipt of clarifications</w:t>
            </w:r>
          </w:p>
        </w:tc>
        <w:tc>
          <w:tcPr>
            <w:tcW w:w="2702" w:type="pct"/>
            <w:tcBorders>
              <w:top w:val="single" w:sz="8" w:space="0" w:color="000000"/>
              <w:left w:val="single" w:sz="8" w:space="0" w:color="000000"/>
              <w:bottom w:val="single" w:sz="8" w:space="0" w:color="000000"/>
              <w:right w:val="single" w:sz="8" w:space="0" w:color="000000"/>
            </w:tcBorders>
          </w:tcPr>
          <w:p w14:paraId="00272B4C" w14:textId="677A6A8A" w:rsidR="005A30CB" w:rsidRPr="00A430A9" w:rsidRDefault="00424CEF" w:rsidP="005A30CB">
            <w:pPr>
              <w:pStyle w:val="Paragraph"/>
              <w:jc w:val="left"/>
              <w:rPr>
                <w:rFonts w:ascii="Aptos" w:hAnsi="Aptos"/>
                <w:b/>
                <w:bCs/>
              </w:rPr>
            </w:pPr>
            <w:r w:rsidRPr="00A430A9">
              <w:rPr>
                <w:rFonts w:ascii="Aptos" w:hAnsi="Aptos"/>
                <w:b/>
                <w:bCs/>
              </w:rPr>
              <w:t>20</w:t>
            </w:r>
            <w:r w:rsidR="008E3F4A" w:rsidRPr="00A430A9">
              <w:rPr>
                <w:rFonts w:ascii="Aptos" w:hAnsi="Aptos"/>
                <w:b/>
                <w:bCs/>
              </w:rPr>
              <w:t xml:space="preserve"> October 2025</w:t>
            </w:r>
          </w:p>
        </w:tc>
      </w:tr>
      <w:tr w:rsidR="005A30CB" w:rsidRPr="007617B0" w14:paraId="3261214F" w14:textId="77777777" w:rsidTr="005A4413">
        <w:tc>
          <w:tcPr>
            <w:tcW w:w="2298" w:type="pct"/>
            <w:tcBorders>
              <w:top w:val="single" w:sz="8" w:space="0" w:color="000000"/>
              <w:left w:val="single" w:sz="8" w:space="0" w:color="000000"/>
              <w:bottom w:val="single" w:sz="8" w:space="0" w:color="000000"/>
              <w:right w:val="single" w:sz="8" w:space="0" w:color="000000"/>
            </w:tcBorders>
          </w:tcPr>
          <w:p w14:paraId="782B98C4" w14:textId="3BC990D2" w:rsidR="005A30CB" w:rsidRPr="00EE2922" w:rsidRDefault="005A30CB" w:rsidP="005A30CB">
            <w:pPr>
              <w:pStyle w:val="Paragraph"/>
              <w:jc w:val="left"/>
              <w:rPr>
                <w:rFonts w:ascii="Aptos" w:hAnsi="Aptos"/>
              </w:rPr>
            </w:pPr>
            <w:r w:rsidRPr="00EE2922">
              <w:rPr>
                <w:rFonts w:ascii="Aptos" w:hAnsi="Aptos"/>
              </w:rPr>
              <w:t>Deadline for receipt of Tenders</w:t>
            </w:r>
          </w:p>
        </w:tc>
        <w:tc>
          <w:tcPr>
            <w:tcW w:w="2702" w:type="pct"/>
            <w:tcBorders>
              <w:top w:val="single" w:sz="8" w:space="0" w:color="000000"/>
              <w:left w:val="single" w:sz="8" w:space="0" w:color="000000"/>
              <w:bottom w:val="single" w:sz="8" w:space="0" w:color="000000"/>
              <w:right w:val="single" w:sz="8" w:space="0" w:color="000000"/>
            </w:tcBorders>
          </w:tcPr>
          <w:p w14:paraId="3B908593" w14:textId="5E562851" w:rsidR="005A30CB" w:rsidRPr="00A430A9" w:rsidRDefault="00AD6329" w:rsidP="005A30CB">
            <w:pPr>
              <w:pStyle w:val="Paragraph"/>
              <w:jc w:val="left"/>
              <w:rPr>
                <w:rFonts w:ascii="Aptos" w:hAnsi="Aptos"/>
                <w:b/>
                <w:bCs/>
              </w:rPr>
            </w:pPr>
            <w:r w:rsidRPr="00A430A9">
              <w:rPr>
                <w:rFonts w:ascii="Aptos" w:hAnsi="Aptos"/>
                <w:b/>
                <w:bCs/>
              </w:rPr>
              <w:t>29</w:t>
            </w:r>
            <w:r w:rsidR="008E3F4A" w:rsidRPr="00A430A9">
              <w:rPr>
                <w:rFonts w:ascii="Aptos" w:hAnsi="Aptos"/>
                <w:b/>
                <w:bCs/>
              </w:rPr>
              <w:t xml:space="preserve"> October 2025</w:t>
            </w:r>
          </w:p>
        </w:tc>
      </w:tr>
      <w:tr w:rsidR="00AF2805" w:rsidRPr="007617B0" w14:paraId="0B54AF53" w14:textId="77777777" w:rsidTr="005A4413">
        <w:tc>
          <w:tcPr>
            <w:tcW w:w="2298" w:type="pct"/>
            <w:tcBorders>
              <w:top w:val="single" w:sz="8" w:space="0" w:color="000000"/>
              <w:left w:val="single" w:sz="8" w:space="0" w:color="000000"/>
              <w:bottom w:val="single" w:sz="8" w:space="0" w:color="000000"/>
              <w:right w:val="single" w:sz="8" w:space="0" w:color="000000"/>
            </w:tcBorders>
          </w:tcPr>
          <w:p w14:paraId="4A2C6647" w14:textId="046A1A38" w:rsidR="00DA147D" w:rsidRPr="00EE2922" w:rsidRDefault="000C6FD7" w:rsidP="00CA1A98">
            <w:pPr>
              <w:pStyle w:val="Paragraph"/>
              <w:jc w:val="left"/>
              <w:rPr>
                <w:rFonts w:ascii="Aptos" w:hAnsi="Aptos"/>
              </w:rPr>
            </w:pPr>
            <w:r w:rsidRPr="00EE2922">
              <w:rPr>
                <w:rFonts w:ascii="Aptos" w:hAnsi="Aptos"/>
              </w:rPr>
              <w:lastRenderedPageBreak/>
              <w:t>Contract Award Notice</w:t>
            </w:r>
            <w:r w:rsidR="00581412" w:rsidRPr="00EE2922">
              <w:rPr>
                <w:rFonts w:ascii="Aptos" w:hAnsi="Aptos"/>
              </w:rPr>
              <w:t xml:space="preserve"> published</w:t>
            </w:r>
          </w:p>
        </w:tc>
        <w:tc>
          <w:tcPr>
            <w:tcW w:w="2702" w:type="pct"/>
            <w:tcBorders>
              <w:top w:val="single" w:sz="8" w:space="0" w:color="000000"/>
              <w:left w:val="single" w:sz="8" w:space="0" w:color="000000"/>
              <w:bottom w:val="single" w:sz="8" w:space="0" w:color="000000"/>
              <w:right w:val="single" w:sz="8" w:space="0" w:color="000000"/>
            </w:tcBorders>
          </w:tcPr>
          <w:p w14:paraId="245C7DD9" w14:textId="2FEBBC19" w:rsidR="00DA147D" w:rsidRPr="00A430A9" w:rsidRDefault="002401D4" w:rsidP="00CA1A98">
            <w:pPr>
              <w:pStyle w:val="Paragraph"/>
              <w:jc w:val="left"/>
              <w:rPr>
                <w:rFonts w:ascii="Aptos" w:hAnsi="Aptos"/>
              </w:rPr>
            </w:pPr>
            <w:r w:rsidRPr="00A430A9">
              <w:rPr>
                <w:rFonts w:ascii="Aptos" w:hAnsi="Aptos"/>
              </w:rPr>
              <w:t>12</w:t>
            </w:r>
            <w:r w:rsidR="008E3F4A" w:rsidRPr="00A430A9">
              <w:rPr>
                <w:rFonts w:ascii="Aptos" w:hAnsi="Aptos"/>
              </w:rPr>
              <w:t xml:space="preserve"> </w:t>
            </w:r>
            <w:r w:rsidRPr="00A430A9">
              <w:rPr>
                <w:rFonts w:ascii="Aptos" w:hAnsi="Aptos"/>
              </w:rPr>
              <w:t>Dec</w:t>
            </w:r>
            <w:r w:rsidR="00A0078C" w:rsidRPr="00A430A9">
              <w:rPr>
                <w:rFonts w:ascii="Aptos" w:hAnsi="Aptos"/>
              </w:rPr>
              <w:t>ember</w:t>
            </w:r>
            <w:r w:rsidRPr="00A430A9">
              <w:rPr>
                <w:rFonts w:ascii="Aptos" w:hAnsi="Aptos"/>
              </w:rPr>
              <w:t xml:space="preserve"> </w:t>
            </w:r>
            <w:r w:rsidR="008E3F4A" w:rsidRPr="00A430A9">
              <w:rPr>
                <w:rFonts w:ascii="Aptos" w:hAnsi="Aptos"/>
              </w:rPr>
              <w:t>2025</w:t>
            </w:r>
          </w:p>
        </w:tc>
      </w:tr>
      <w:tr w:rsidR="00581412" w:rsidRPr="007617B0" w14:paraId="60D2E71A" w14:textId="77777777" w:rsidTr="005A4413">
        <w:tc>
          <w:tcPr>
            <w:tcW w:w="2298" w:type="pct"/>
            <w:tcBorders>
              <w:top w:val="single" w:sz="8" w:space="0" w:color="000000"/>
              <w:left w:val="single" w:sz="8" w:space="0" w:color="000000"/>
              <w:bottom w:val="single" w:sz="8" w:space="0" w:color="000000"/>
              <w:right w:val="single" w:sz="8" w:space="0" w:color="000000"/>
            </w:tcBorders>
          </w:tcPr>
          <w:p w14:paraId="780285FE" w14:textId="4C0EE6F5" w:rsidR="00581412" w:rsidRPr="00EE2922" w:rsidRDefault="00581412" w:rsidP="00CA1A98">
            <w:pPr>
              <w:pStyle w:val="Paragraph"/>
              <w:jc w:val="left"/>
              <w:rPr>
                <w:rFonts w:ascii="Aptos" w:hAnsi="Aptos"/>
              </w:rPr>
            </w:pPr>
            <w:r w:rsidRPr="00EE2922">
              <w:rPr>
                <w:rFonts w:ascii="Aptos" w:hAnsi="Aptos"/>
              </w:rPr>
              <w:t>Standstill period</w:t>
            </w:r>
            <w:r w:rsidR="008E3F4A" w:rsidRPr="00EE2922">
              <w:rPr>
                <w:rFonts w:ascii="Aptos" w:hAnsi="Aptos"/>
              </w:rPr>
              <w:t xml:space="preserve"> concludes</w:t>
            </w:r>
          </w:p>
        </w:tc>
        <w:tc>
          <w:tcPr>
            <w:tcW w:w="2702" w:type="pct"/>
            <w:tcBorders>
              <w:top w:val="single" w:sz="8" w:space="0" w:color="000000"/>
              <w:left w:val="single" w:sz="8" w:space="0" w:color="000000"/>
              <w:bottom w:val="single" w:sz="8" w:space="0" w:color="000000"/>
              <w:right w:val="single" w:sz="8" w:space="0" w:color="000000"/>
            </w:tcBorders>
          </w:tcPr>
          <w:p w14:paraId="13DB5830" w14:textId="019BD797" w:rsidR="00581412" w:rsidRPr="00A430A9" w:rsidRDefault="00A0078C" w:rsidP="00CA1A98">
            <w:pPr>
              <w:pStyle w:val="Paragraph"/>
              <w:jc w:val="left"/>
              <w:rPr>
                <w:rFonts w:ascii="Aptos" w:hAnsi="Aptos"/>
              </w:rPr>
            </w:pPr>
            <w:r w:rsidRPr="00A430A9">
              <w:rPr>
                <w:rFonts w:ascii="Aptos" w:hAnsi="Aptos"/>
              </w:rPr>
              <w:t>20</w:t>
            </w:r>
            <w:r w:rsidR="00502D68" w:rsidRPr="00A430A9">
              <w:rPr>
                <w:rFonts w:ascii="Aptos" w:hAnsi="Aptos"/>
              </w:rPr>
              <w:t xml:space="preserve"> December 2025</w:t>
            </w:r>
          </w:p>
        </w:tc>
      </w:tr>
      <w:tr w:rsidR="00AF2805" w:rsidRPr="007617B0" w14:paraId="3DB5B010" w14:textId="77777777" w:rsidTr="005A4413">
        <w:tc>
          <w:tcPr>
            <w:tcW w:w="2298" w:type="pct"/>
            <w:tcBorders>
              <w:top w:val="single" w:sz="8" w:space="0" w:color="000000"/>
              <w:left w:val="single" w:sz="8" w:space="0" w:color="000000"/>
              <w:bottom w:val="single" w:sz="8" w:space="0" w:color="000000"/>
              <w:right w:val="single" w:sz="8" w:space="0" w:color="000000"/>
            </w:tcBorders>
          </w:tcPr>
          <w:p w14:paraId="4AD6AD30" w14:textId="30F84C03" w:rsidR="00DA147D" w:rsidRPr="00EE2922" w:rsidRDefault="000C6FD7" w:rsidP="00CA1A98">
            <w:pPr>
              <w:pStyle w:val="Paragraph"/>
              <w:jc w:val="left"/>
              <w:rPr>
                <w:rFonts w:ascii="Aptos" w:hAnsi="Aptos"/>
              </w:rPr>
            </w:pPr>
            <w:r w:rsidRPr="00EE2922">
              <w:rPr>
                <w:rFonts w:ascii="Aptos" w:hAnsi="Aptos"/>
              </w:rPr>
              <w:t>Contract Details Notice</w:t>
            </w:r>
            <w:r w:rsidR="00581412" w:rsidRPr="00EE2922">
              <w:rPr>
                <w:rFonts w:ascii="Aptos" w:hAnsi="Aptos"/>
              </w:rPr>
              <w:t xml:space="preserve"> published</w:t>
            </w:r>
          </w:p>
        </w:tc>
        <w:tc>
          <w:tcPr>
            <w:tcW w:w="2702" w:type="pct"/>
            <w:tcBorders>
              <w:top w:val="single" w:sz="8" w:space="0" w:color="000000"/>
              <w:left w:val="single" w:sz="8" w:space="0" w:color="000000"/>
              <w:bottom w:val="single" w:sz="8" w:space="0" w:color="000000"/>
              <w:right w:val="single" w:sz="8" w:space="0" w:color="000000"/>
            </w:tcBorders>
          </w:tcPr>
          <w:p w14:paraId="28BEE075" w14:textId="6035F217" w:rsidR="00DA147D" w:rsidRPr="00A430A9" w:rsidRDefault="004019B8" w:rsidP="00CA1A98">
            <w:pPr>
              <w:pStyle w:val="Paragraph"/>
              <w:jc w:val="left"/>
              <w:rPr>
                <w:rFonts w:ascii="Aptos" w:hAnsi="Aptos"/>
              </w:rPr>
            </w:pPr>
            <w:r>
              <w:rPr>
                <w:rFonts w:ascii="Aptos" w:hAnsi="Aptos"/>
              </w:rPr>
              <w:t>12</w:t>
            </w:r>
            <w:r w:rsidR="00615742" w:rsidRPr="00A430A9">
              <w:rPr>
                <w:rFonts w:ascii="Aptos" w:hAnsi="Aptos"/>
              </w:rPr>
              <w:t xml:space="preserve"> January 2026</w:t>
            </w:r>
          </w:p>
        </w:tc>
      </w:tr>
      <w:tr w:rsidR="00AF2805" w:rsidRPr="007617B0" w14:paraId="345A55EB" w14:textId="77777777" w:rsidTr="005A4413">
        <w:tc>
          <w:tcPr>
            <w:tcW w:w="2298" w:type="pct"/>
            <w:tcBorders>
              <w:top w:val="single" w:sz="8" w:space="0" w:color="000000"/>
              <w:left w:val="single" w:sz="8" w:space="0" w:color="000000"/>
              <w:bottom w:val="single" w:sz="8" w:space="0" w:color="000000"/>
              <w:right w:val="single" w:sz="8" w:space="0" w:color="000000"/>
            </w:tcBorders>
          </w:tcPr>
          <w:p w14:paraId="7E301B31" w14:textId="0745612D" w:rsidR="00DA147D" w:rsidRPr="00EE2922" w:rsidRDefault="00CE6703" w:rsidP="00CA1A98">
            <w:pPr>
              <w:pStyle w:val="Paragraph"/>
              <w:jc w:val="left"/>
              <w:rPr>
                <w:rFonts w:ascii="Aptos" w:hAnsi="Aptos"/>
              </w:rPr>
            </w:pPr>
            <w:r w:rsidRPr="00EE2922">
              <w:rPr>
                <w:rFonts w:ascii="Aptos" w:hAnsi="Aptos"/>
              </w:rPr>
              <w:t>Contract Start Date</w:t>
            </w:r>
          </w:p>
        </w:tc>
        <w:tc>
          <w:tcPr>
            <w:tcW w:w="2702" w:type="pct"/>
            <w:tcBorders>
              <w:top w:val="single" w:sz="8" w:space="0" w:color="000000"/>
              <w:left w:val="single" w:sz="8" w:space="0" w:color="000000"/>
              <w:bottom w:val="single" w:sz="8" w:space="0" w:color="000000"/>
              <w:right w:val="single" w:sz="8" w:space="0" w:color="000000"/>
            </w:tcBorders>
          </w:tcPr>
          <w:p w14:paraId="16902EA6" w14:textId="1C6DE8D8" w:rsidR="00DA147D" w:rsidRPr="00A430A9" w:rsidRDefault="00A55F46" w:rsidP="00CA1A98">
            <w:pPr>
              <w:pStyle w:val="Paragraph"/>
              <w:jc w:val="left"/>
              <w:rPr>
                <w:rFonts w:ascii="Aptos" w:hAnsi="Aptos"/>
              </w:rPr>
            </w:pPr>
            <w:r w:rsidRPr="00A430A9">
              <w:rPr>
                <w:rFonts w:ascii="Aptos" w:hAnsi="Aptos"/>
              </w:rPr>
              <w:t>1 February 2026</w:t>
            </w:r>
          </w:p>
        </w:tc>
      </w:tr>
    </w:tbl>
    <w:p w14:paraId="6E08605A" w14:textId="6D37D694" w:rsidR="00DA147D" w:rsidRPr="007617B0" w:rsidRDefault="00DA147D" w:rsidP="00CA1A98">
      <w:pPr>
        <w:pStyle w:val="Parasubclause1"/>
        <w:rPr>
          <w:rFonts w:ascii="Aptos" w:hAnsi="Aptos"/>
        </w:rPr>
      </w:pPr>
      <w:r w:rsidRPr="007617B0">
        <w:rPr>
          <w:rFonts w:ascii="Aptos" w:hAnsi="Aptos"/>
        </w:rPr>
        <w:t xml:space="preserve">Any changes to the </w:t>
      </w:r>
      <w:r w:rsidR="00BF626D" w:rsidRPr="007617B0">
        <w:rPr>
          <w:rFonts w:ascii="Aptos" w:hAnsi="Aptos"/>
        </w:rPr>
        <w:t>P</w:t>
      </w:r>
      <w:r w:rsidRPr="007617B0">
        <w:rPr>
          <w:rFonts w:ascii="Aptos" w:hAnsi="Aptos"/>
        </w:rPr>
        <w:t>rocurement Timetable shall be notified to all Tenderers as soon as practicable.</w:t>
      </w:r>
    </w:p>
    <w:p w14:paraId="3D4E013D" w14:textId="77777777" w:rsidR="006971C3" w:rsidRPr="007617B0" w:rsidRDefault="006971C3" w:rsidP="006971C3">
      <w:pPr>
        <w:pStyle w:val="Parasubclause1"/>
        <w:rPr>
          <w:rFonts w:ascii="Aptos" w:hAnsi="Aptos" w:cstheme="minorHAnsi"/>
        </w:rPr>
      </w:pPr>
      <w:r w:rsidRPr="007617B0">
        <w:rPr>
          <w:rFonts w:ascii="Aptos" w:hAnsi="Aptos" w:cstheme="minorHAnsi"/>
        </w:rPr>
        <w:t>Responses to this ITT must be submitted in the manner prescribed by this ITT by no later than the Deadline.</w:t>
      </w:r>
    </w:p>
    <w:p w14:paraId="0E1FB055" w14:textId="7DEBA8D6" w:rsidR="00DA147D" w:rsidRPr="007617B0" w:rsidRDefault="00DA147D" w:rsidP="00CA1A98">
      <w:pPr>
        <w:pStyle w:val="Parasubclause1"/>
        <w:rPr>
          <w:rFonts w:ascii="Aptos" w:hAnsi="Aptos"/>
        </w:rPr>
      </w:pPr>
      <w:r w:rsidRPr="007617B0">
        <w:rPr>
          <w:rFonts w:ascii="Aptos" w:hAnsi="Aptos"/>
        </w:rPr>
        <w:t xml:space="preserve">Any Tender received after the Deadline shall not be opened or considered. </w:t>
      </w:r>
      <w:r w:rsidR="00BF626D" w:rsidRPr="007617B0">
        <w:rPr>
          <w:rFonts w:ascii="Aptos" w:hAnsi="Aptos"/>
        </w:rPr>
        <w:t>OAT</w:t>
      </w:r>
      <w:r w:rsidRPr="007617B0">
        <w:rPr>
          <w:rFonts w:ascii="Aptos" w:hAnsi="Aptos"/>
        </w:rPr>
        <w:t xml:space="preserve"> may, however, in its own absolute discretion extend the Deadline and</w:t>
      </w:r>
      <w:r w:rsidR="00040DD7">
        <w:rPr>
          <w:rFonts w:ascii="Aptos" w:hAnsi="Aptos"/>
        </w:rPr>
        <w:t>,</w:t>
      </w:r>
      <w:r w:rsidRPr="007617B0">
        <w:rPr>
          <w:rFonts w:ascii="Aptos" w:hAnsi="Aptos"/>
        </w:rPr>
        <w:t xml:space="preserve"> in such circumstances</w:t>
      </w:r>
      <w:r w:rsidR="00040DD7">
        <w:rPr>
          <w:rFonts w:ascii="Aptos" w:hAnsi="Aptos"/>
        </w:rPr>
        <w:t>,</w:t>
      </w:r>
      <w:r w:rsidRPr="007617B0">
        <w:rPr>
          <w:rFonts w:ascii="Aptos" w:hAnsi="Aptos"/>
        </w:rPr>
        <w:t xml:space="preserve"> </w:t>
      </w:r>
      <w:r w:rsidR="00BF626D" w:rsidRPr="007617B0">
        <w:rPr>
          <w:rFonts w:ascii="Aptos" w:hAnsi="Aptos"/>
        </w:rPr>
        <w:t>OAT</w:t>
      </w:r>
      <w:r w:rsidRPr="007617B0">
        <w:rPr>
          <w:rFonts w:ascii="Aptos" w:hAnsi="Aptos"/>
        </w:rPr>
        <w:t xml:space="preserve"> will notify all Tenderers of any change.</w:t>
      </w:r>
    </w:p>
    <w:p w14:paraId="200D4CA6" w14:textId="77777777" w:rsidR="003342C0" w:rsidRPr="003342C0" w:rsidRDefault="003342C0" w:rsidP="003342C0">
      <w:pPr>
        <w:pStyle w:val="ListParagraph"/>
        <w:numPr>
          <w:ilvl w:val="0"/>
          <w:numId w:val="68"/>
        </w:numPr>
        <w:spacing w:before="280" w:line="300" w:lineRule="atLeast"/>
        <w:contextualSpacing w:val="0"/>
        <w:outlineLvl w:val="1"/>
        <w:rPr>
          <w:rFonts w:ascii="Aptos" w:eastAsia="Arial Unicode MS" w:hAnsi="Aptos" w:cs="Arial"/>
          <w:b/>
          <w:vanish/>
        </w:rPr>
      </w:pPr>
      <w:bookmarkStart w:id="110" w:name="_Toc208864861"/>
      <w:bookmarkStart w:id="111" w:name="_Toc208856232"/>
      <w:bookmarkEnd w:id="110"/>
    </w:p>
    <w:p w14:paraId="3CAB4C42" w14:textId="77777777" w:rsidR="003342C0" w:rsidRPr="003342C0" w:rsidRDefault="003342C0" w:rsidP="003342C0">
      <w:pPr>
        <w:pStyle w:val="ListParagraph"/>
        <w:numPr>
          <w:ilvl w:val="0"/>
          <w:numId w:val="68"/>
        </w:numPr>
        <w:spacing w:before="280" w:line="300" w:lineRule="atLeast"/>
        <w:contextualSpacing w:val="0"/>
        <w:outlineLvl w:val="1"/>
        <w:rPr>
          <w:rFonts w:ascii="Aptos" w:eastAsia="Arial Unicode MS" w:hAnsi="Aptos" w:cs="Arial"/>
          <w:b/>
          <w:vanish/>
        </w:rPr>
      </w:pPr>
      <w:bookmarkStart w:id="112" w:name="_Toc208864862"/>
      <w:bookmarkEnd w:id="112"/>
    </w:p>
    <w:p w14:paraId="4BA439FD" w14:textId="12E333BF" w:rsidR="00DA147D" w:rsidRPr="002D336C" w:rsidRDefault="00C92128" w:rsidP="004019B8">
      <w:pPr>
        <w:pStyle w:val="Untitledsubclause1"/>
        <w:numPr>
          <w:ilvl w:val="1"/>
          <w:numId w:val="68"/>
        </w:numPr>
        <w:ind w:left="720" w:hanging="360"/>
        <w:jc w:val="left"/>
        <w:rPr>
          <w:rFonts w:ascii="Aptos" w:hAnsi="Aptos"/>
        </w:rPr>
      </w:pPr>
      <w:bookmarkStart w:id="113" w:name="_Toc208864863"/>
      <w:r w:rsidRPr="006F57F9">
        <w:rPr>
          <w:rFonts w:ascii="Aptos" w:hAnsi="Aptos"/>
          <w:b/>
        </w:rPr>
        <w:t xml:space="preserve">Framework </w:t>
      </w:r>
      <w:r w:rsidR="00DA147D" w:rsidRPr="006F57F9">
        <w:rPr>
          <w:rFonts w:ascii="Aptos" w:hAnsi="Aptos"/>
          <w:b/>
        </w:rPr>
        <w:t>Contract award</w:t>
      </w:r>
      <w:r w:rsidR="00DA147D" w:rsidRPr="002D336C">
        <w:rPr>
          <w:rFonts w:ascii="Aptos" w:hAnsi="Aptos"/>
        </w:rPr>
        <w:br/>
      </w:r>
      <w:r w:rsidR="002D336C">
        <w:rPr>
          <w:rFonts w:ascii="Aptos" w:hAnsi="Aptos"/>
        </w:rPr>
        <w:br/>
      </w:r>
      <w:r w:rsidR="002241EA" w:rsidRPr="002D336C">
        <w:rPr>
          <w:rFonts w:ascii="Aptos" w:hAnsi="Aptos"/>
        </w:rPr>
        <w:t>OAT</w:t>
      </w:r>
      <w:r w:rsidR="00DA147D" w:rsidRPr="002D336C">
        <w:rPr>
          <w:rFonts w:ascii="Aptos" w:hAnsi="Aptos"/>
        </w:rPr>
        <w:t xml:space="preserve"> may award </w:t>
      </w:r>
      <w:r w:rsidR="000B5AA0" w:rsidRPr="002D336C">
        <w:rPr>
          <w:rFonts w:ascii="Aptos" w:hAnsi="Aptos"/>
        </w:rPr>
        <w:t xml:space="preserve">Framework </w:t>
      </w:r>
      <w:r w:rsidR="00DA147D" w:rsidRPr="002D336C">
        <w:rPr>
          <w:rFonts w:ascii="Aptos" w:hAnsi="Aptos"/>
        </w:rPr>
        <w:t xml:space="preserve">Contract(s) </w:t>
      </w:r>
      <w:r w:rsidR="00946E85" w:rsidRPr="002D336C">
        <w:rPr>
          <w:rFonts w:ascii="Aptos" w:hAnsi="Aptos"/>
        </w:rPr>
        <w:t>based on</w:t>
      </w:r>
      <w:r w:rsidR="00DA147D" w:rsidRPr="002D336C">
        <w:rPr>
          <w:rFonts w:ascii="Aptos" w:hAnsi="Aptos"/>
        </w:rPr>
        <w:t xml:space="preserve"> a </w:t>
      </w:r>
      <w:r w:rsidR="00F771B0" w:rsidRPr="002D336C">
        <w:rPr>
          <w:rFonts w:ascii="Aptos" w:hAnsi="Aptos"/>
        </w:rPr>
        <w:t xml:space="preserve">Tender </w:t>
      </w:r>
      <w:r w:rsidR="00DA147D" w:rsidRPr="002D336C">
        <w:rPr>
          <w:rFonts w:ascii="Aptos" w:hAnsi="Aptos"/>
        </w:rPr>
        <w:t>submitted in accordance with the instructions below.</w:t>
      </w:r>
      <w:bookmarkEnd w:id="111"/>
      <w:bookmarkEnd w:id="113"/>
    </w:p>
    <w:p w14:paraId="7651894E" w14:textId="4528C6C9" w:rsidR="00DA147D" w:rsidRPr="007617B0" w:rsidRDefault="000B5AA0" w:rsidP="00CA1A98">
      <w:pPr>
        <w:pStyle w:val="Parasubclause1"/>
        <w:rPr>
          <w:rFonts w:ascii="Aptos" w:hAnsi="Aptos"/>
        </w:rPr>
      </w:pPr>
      <w:r>
        <w:rPr>
          <w:rFonts w:ascii="Aptos" w:hAnsi="Aptos"/>
        </w:rPr>
        <w:t xml:space="preserve">Framework </w:t>
      </w:r>
      <w:r w:rsidR="00DA147D" w:rsidRPr="007617B0">
        <w:rPr>
          <w:rFonts w:ascii="Aptos" w:hAnsi="Aptos"/>
        </w:rPr>
        <w:t xml:space="preserve">Contract award is subject to the formal approval process of </w:t>
      </w:r>
      <w:r w:rsidR="002241EA" w:rsidRPr="007617B0">
        <w:rPr>
          <w:rFonts w:ascii="Aptos" w:hAnsi="Aptos"/>
        </w:rPr>
        <w:t>OAT</w:t>
      </w:r>
      <w:r w:rsidR="00DA147D" w:rsidRPr="007617B0">
        <w:rPr>
          <w:rFonts w:ascii="Aptos" w:hAnsi="Aptos"/>
        </w:rPr>
        <w:t>. Until all necessary approvals are obtained and the standstill period completed, no Contract(s) will be entered into.</w:t>
      </w:r>
    </w:p>
    <w:p w14:paraId="310D72D8" w14:textId="5FE27EAC" w:rsidR="00DA147D" w:rsidRDefault="00DA147D" w:rsidP="00CA1A98">
      <w:pPr>
        <w:pStyle w:val="Parasubclause1"/>
        <w:rPr>
          <w:rFonts w:ascii="Aptos" w:hAnsi="Aptos"/>
        </w:rPr>
      </w:pPr>
      <w:r w:rsidRPr="007617B0">
        <w:rPr>
          <w:rFonts w:ascii="Aptos" w:hAnsi="Aptos"/>
        </w:rPr>
        <w:t xml:space="preserve">Once </w:t>
      </w:r>
      <w:r w:rsidR="002241EA" w:rsidRPr="007617B0">
        <w:rPr>
          <w:rFonts w:ascii="Aptos" w:hAnsi="Aptos"/>
        </w:rPr>
        <w:t>OAT</w:t>
      </w:r>
      <w:r w:rsidRPr="007617B0">
        <w:rPr>
          <w:rFonts w:ascii="Aptos" w:hAnsi="Aptos"/>
        </w:rPr>
        <w:t xml:space="preserve"> has reached a decision in respect of a contract award, it will notify all </w:t>
      </w:r>
      <w:r w:rsidR="00945546" w:rsidRPr="007617B0">
        <w:rPr>
          <w:rFonts w:ascii="Aptos" w:hAnsi="Aptos"/>
        </w:rPr>
        <w:t>Tenderers</w:t>
      </w:r>
      <w:r w:rsidRPr="007617B0">
        <w:rPr>
          <w:rFonts w:ascii="Aptos" w:hAnsi="Aptos"/>
        </w:rPr>
        <w:t xml:space="preserve"> of that decision and provide for a standstill period in accordance with </w:t>
      </w:r>
      <w:r w:rsidR="00EF5610" w:rsidRPr="007617B0">
        <w:rPr>
          <w:rFonts w:ascii="Aptos" w:hAnsi="Aptos"/>
        </w:rPr>
        <w:t>the Act</w:t>
      </w:r>
      <w:r w:rsidR="00D93004">
        <w:rPr>
          <w:rFonts w:ascii="Aptos" w:hAnsi="Aptos"/>
        </w:rPr>
        <w:t>,</w:t>
      </w:r>
      <w:r w:rsidRPr="007617B0">
        <w:rPr>
          <w:rFonts w:ascii="Aptos" w:hAnsi="Aptos"/>
        </w:rPr>
        <w:t xml:space="preserve"> before </w:t>
      </w:r>
      <w:r w:rsidR="00DB70B3">
        <w:rPr>
          <w:rFonts w:ascii="Aptos" w:hAnsi="Aptos"/>
        </w:rPr>
        <w:t xml:space="preserve">seeking to formalise </w:t>
      </w:r>
      <w:r w:rsidRPr="007617B0">
        <w:rPr>
          <w:rFonts w:ascii="Aptos" w:hAnsi="Aptos"/>
        </w:rPr>
        <w:t>any Contract(s).</w:t>
      </w:r>
    </w:p>
    <w:p w14:paraId="48D3A054" w14:textId="7705452C" w:rsidR="007D7271" w:rsidRPr="007617B0" w:rsidRDefault="007D7271" w:rsidP="00CA1A98">
      <w:pPr>
        <w:pStyle w:val="Parasubclause1"/>
        <w:rPr>
          <w:rFonts w:ascii="Aptos" w:hAnsi="Aptos"/>
        </w:rPr>
      </w:pPr>
      <w:r>
        <w:rPr>
          <w:rFonts w:ascii="Aptos" w:hAnsi="Aptos"/>
        </w:rPr>
        <w:t>Once the associated Framework Contracts are ‘live’ (</w:t>
      </w:r>
      <w:r w:rsidR="00E471C2">
        <w:rPr>
          <w:rFonts w:ascii="Aptos" w:hAnsi="Aptos"/>
        </w:rPr>
        <w:t>estimated to be 1 February at the latest)</w:t>
      </w:r>
      <w:r>
        <w:rPr>
          <w:rFonts w:ascii="Aptos" w:hAnsi="Aptos"/>
        </w:rPr>
        <w:t xml:space="preserve">, any future call-off contracts will be awarded via a </w:t>
      </w:r>
      <w:r w:rsidRPr="007617B0">
        <w:rPr>
          <w:rFonts w:ascii="Aptos" w:hAnsi="Aptos"/>
        </w:rPr>
        <w:t xml:space="preserve">mini-competition </w:t>
      </w:r>
      <w:r w:rsidR="00254A3A">
        <w:rPr>
          <w:rFonts w:ascii="Aptos" w:hAnsi="Aptos"/>
        </w:rPr>
        <w:t>issued to</w:t>
      </w:r>
      <w:r>
        <w:rPr>
          <w:rFonts w:ascii="Aptos" w:hAnsi="Aptos"/>
        </w:rPr>
        <w:t xml:space="preserve"> </w:t>
      </w:r>
      <w:r w:rsidR="00254A3A">
        <w:rPr>
          <w:rFonts w:ascii="Aptos" w:hAnsi="Aptos"/>
        </w:rPr>
        <w:t xml:space="preserve">all </w:t>
      </w:r>
      <w:r>
        <w:rPr>
          <w:rFonts w:ascii="Aptos" w:hAnsi="Aptos"/>
        </w:rPr>
        <w:t>the successful Framework Suppliers in the related geographical lot.</w:t>
      </w:r>
      <w:r w:rsidR="00254A3A">
        <w:rPr>
          <w:rFonts w:ascii="Aptos" w:hAnsi="Aptos"/>
        </w:rPr>
        <w:t xml:space="preserve"> </w:t>
      </w:r>
    </w:p>
    <w:p w14:paraId="6BFB8588" w14:textId="77777777" w:rsidR="00DA147D" w:rsidRPr="007617B0" w:rsidRDefault="00DA147D" w:rsidP="0043347C">
      <w:pPr>
        <w:pStyle w:val="Untitledsubclause1"/>
        <w:numPr>
          <w:ilvl w:val="1"/>
          <w:numId w:val="68"/>
        </w:numPr>
        <w:rPr>
          <w:rFonts w:ascii="Aptos" w:hAnsi="Aptos"/>
          <w:b/>
        </w:rPr>
      </w:pPr>
      <w:bookmarkStart w:id="114" w:name="a306172"/>
      <w:bookmarkStart w:id="115" w:name="_Toc208856233"/>
      <w:bookmarkStart w:id="116" w:name="_Toc208864864"/>
      <w:r w:rsidRPr="007617B0">
        <w:rPr>
          <w:rFonts w:ascii="Aptos" w:hAnsi="Aptos"/>
          <w:b/>
        </w:rPr>
        <w:t>Debrief</w:t>
      </w:r>
      <w:bookmarkEnd w:id="114"/>
      <w:bookmarkEnd w:id="115"/>
      <w:bookmarkEnd w:id="116"/>
    </w:p>
    <w:p w14:paraId="2B3EB409" w14:textId="1F5A31FF" w:rsidR="00DA147D" w:rsidRPr="007617B0" w:rsidRDefault="00DA147D" w:rsidP="00CA1A98">
      <w:pPr>
        <w:pStyle w:val="Parasubclause1"/>
        <w:rPr>
          <w:rFonts w:ascii="Aptos" w:hAnsi="Aptos"/>
        </w:rPr>
      </w:pPr>
      <w:r w:rsidRPr="007617B0">
        <w:rPr>
          <w:rFonts w:ascii="Aptos" w:hAnsi="Aptos"/>
        </w:rPr>
        <w:t xml:space="preserve">The </w:t>
      </w:r>
      <w:r w:rsidR="00254A3A">
        <w:rPr>
          <w:rFonts w:ascii="Aptos" w:hAnsi="Aptos"/>
        </w:rPr>
        <w:t xml:space="preserve">Framework </w:t>
      </w:r>
      <w:r w:rsidRPr="007617B0">
        <w:rPr>
          <w:rFonts w:ascii="Aptos" w:hAnsi="Aptos"/>
        </w:rPr>
        <w:t>contract award notification will be sent to each Tenderer</w:t>
      </w:r>
      <w:r w:rsidR="002241EA" w:rsidRPr="007617B0">
        <w:rPr>
          <w:rFonts w:ascii="Aptos" w:hAnsi="Aptos"/>
        </w:rPr>
        <w:t xml:space="preserve"> In accordance with the requirements of the Act.</w:t>
      </w:r>
    </w:p>
    <w:p w14:paraId="1F8D7A0A" w14:textId="1B43DC76" w:rsidR="00DA147D" w:rsidRPr="007617B0" w:rsidRDefault="00DA147D" w:rsidP="0043347C">
      <w:pPr>
        <w:pStyle w:val="TitleClause"/>
        <w:numPr>
          <w:ilvl w:val="0"/>
          <w:numId w:val="66"/>
        </w:numPr>
        <w:rPr>
          <w:rFonts w:ascii="Aptos" w:hAnsi="Aptos"/>
        </w:rPr>
      </w:pPr>
      <w:bookmarkStart w:id="117" w:name="a268968"/>
      <w:bookmarkStart w:id="118" w:name="_Toc192620508"/>
      <w:bookmarkStart w:id="119" w:name="_Toc208864865"/>
      <w:r w:rsidRPr="007617B0">
        <w:rPr>
          <w:rFonts w:ascii="Aptos" w:hAnsi="Aptos"/>
        </w:rPr>
        <w:t>Tender completion information</w:t>
      </w:r>
      <w:bookmarkEnd w:id="117"/>
      <w:bookmarkEnd w:id="118"/>
      <w:bookmarkEnd w:id="119"/>
    </w:p>
    <w:p w14:paraId="131B8683" w14:textId="77777777" w:rsidR="006B7FD7" w:rsidRPr="006B7FD7" w:rsidRDefault="006B7FD7" w:rsidP="006B7FD7">
      <w:pPr>
        <w:pStyle w:val="ListParagraph"/>
        <w:numPr>
          <w:ilvl w:val="0"/>
          <w:numId w:val="68"/>
        </w:numPr>
        <w:spacing w:before="280" w:line="300" w:lineRule="atLeast"/>
        <w:contextualSpacing w:val="0"/>
        <w:jc w:val="both"/>
        <w:outlineLvl w:val="1"/>
        <w:rPr>
          <w:rFonts w:ascii="Aptos" w:eastAsia="Arial Unicode MS" w:hAnsi="Aptos" w:cs="Arial"/>
          <w:b/>
          <w:vanish/>
        </w:rPr>
      </w:pPr>
      <w:bookmarkStart w:id="120" w:name="_Toc208864866"/>
      <w:bookmarkStart w:id="121" w:name="a71839"/>
      <w:bookmarkStart w:id="122" w:name="_Toc208856235"/>
      <w:bookmarkEnd w:id="120"/>
    </w:p>
    <w:p w14:paraId="118F9106" w14:textId="34935473" w:rsidR="00DA147D" w:rsidRPr="007617B0" w:rsidRDefault="00DA147D" w:rsidP="0043347C">
      <w:pPr>
        <w:pStyle w:val="Untitledsubclause1"/>
        <w:numPr>
          <w:ilvl w:val="1"/>
          <w:numId w:val="68"/>
        </w:numPr>
        <w:rPr>
          <w:rFonts w:ascii="Aptos" w:hAnsi="Aptos"/>
          <w:b/>
        </w:rPr>
      </w:pPr>
      <w:bookmarkStart w:id="123" w:name="_Toc208864867"/>
      <w:r w:rsidRPr="007617B0">
        <w:rPr>
          <w:rFonts w:ascii="Aptos" w:hAnsi="Aptos"/>
          <w:b/>
        </w:rPr>
        <w:t>Formalities</w:t>
      </w:r>
      <w:bookmarkEnd w:id="121"/>
      <w:r w:rsidR="005E3A7F" w:rsidRPr="007617B0">
        <w:rPr>
          <w:rFonts w:ascii="Aptos" w:hAnsi="Aptos"/>
          <w:b/>
        </w:rPr>
        <w:t xml:space="preserve"> and procedural requirements</w:t>
      </w:r>
      <w:bookmarkEnd w:id="122"/>
      <w:bookmarkEnd w:id="123"/>
    </w:p>
    <w:p w14:paraId="0872227A" w14:textId="77777777" w:rsidR="00710321" w:rsidRPr="007617B0" w:rsidRDefault="00710321" w:rsidP="007D0743">
      <w:pPr>
        <w:pStyle w:val="Heading2"/>
        <w:numPr>
          <w:ilvl w:val="0"/>
          <w:numId w:val="51"/>
        </w:numPr>
        <w:rPr>
          <w:rFonts w:ascii="Aptos" w:hAnsi="Aptos" w:cs="Arial"/>
        </w:rPr>
      </w:pPr>
      <w:bookmarkStart w:id="124" w:name="_Toc189059396"/>
      <w:bookmarkStart w:id="125" w:name="_Toc208856236"/>
      <w:bookmarkStart w:id="126" w:name="_Toc208864868"/>
      <w:r w:rsidRPr="007617B0">
        <w:rPr>
          <w:rFonts w:ascii="Aptos" w:hAnsi="Aptos" w:cs="Arial"/>
        </w:rPr>
        <w:lastRenderedPageBreak/>
        <w:t>Procedural requirements</w:t>
      </w:r>
      <w:bookmarkEnd w:id="124"/>
      <w:bookmarkEnd w:id="125"/>
      <w:bookmarkEnd w:id="126"/>
    </w:p>
    <w:p w14:paraId="2757B763" w14:textId="167B1437" w:rsidR="00EF5610" w:rsidRPr="007617B0" w:rsidRDefault="00710321" w:rsidP="004347A7">
      <w:pPr>
        <w:pStyle w:val="Parasubclause1"/>
        <w:numPr>
          <w:ilvl w:val="0"/>
          <w:numId w:val="44"/>
        </w:numPr>
        <w:rPr>
          <w:rFonts w:ascii="Aptos" w:hAnsi="Aptos"/>
        </w:rPr>
      </w:pPr>
      <w:r w:rsidRPr="007617B0">
        <w:rPr>
          <w:rFonts w:ascii="Aptos" w:hAnsi="Aptos"/>
        </w:rPr>
        <w:t xml:space="preserve">This document together with all other associated documents provided to </w:t>
      </w:r>
      <w:r w:rsidR="00BF626D" w:rsidRPr="007617B0">
        <w:rPr>
          <w:rFonts w:ascii="Aptos" w:hAnsi="Aptos"/>
        </w:rPr>
        <w:t xml:space="preserve">Tenderers </w:t>
      </w:r>
      <w:r w:rsidRPr="007617B0">
        <w:rPr>
          <w:rFonts w:ascii="Aptos" w:hAnsi="Aptos"/>
        </w:rPr>
        <w:t xml:space="preserve">in connection with this </w:t>
      </w:r>
      <w:r w:rsidR="005A4413" w:rsidRPr="007617B0">
        <w:rPr>
          <w:rFonts w:ascii="Aptos" w:hAnsi="Aptos"/>
        </w:rPr>
        <w:t>p</w:t>
      </w:r>
      <w:r w:rsidRPr="007617B0">
        <w:rPr>
          <w:rFonts w:ascii="Aptos" w:hAnsi="Aptos"/>
        </w:rPr>
        <w:t xml:space="preserve">rocurement contain procedural requirements which </w:t>
      </w:r>
      <w:r w:rsidR="00BF626D" w:rsidRPr="007617B0">
        <w:rPr>
          <w:rFonts w:ascii="Aptos" w:hAnsi="Aptos"/>
        </w:rPr>
        <w:t>Tenderers</w:t>
      </w:r>
      <w:r w:rsidRPr="007617B0">
        <w:rPr>
          <w:rFonts w:ascii="Aptos" w:hAnsi="Aptos"/>
        </w:rPr>
        <w:t xml:space="preserve"> must follow. Failure to comply with or follow any procedural requirement may result in the exclusion of </w:t>
      </w:r>
      <w:r w:rsidR="00BF626D" w:rsidRPr="007617B0">
        <w:rPr>
          <w:rFonts w:ascii="Aptos" w:hAnsi="Aptos"/>
        </w:rPr>
        <w:t xml:space="preserve">the Tenderer </w:t>
      </w:r>
      <w:r w:rsidRPr="007617B0">
        <w:rPr>
          <w:rFonts w:ascii="Aptos" w:hAnsi="Aptos"/>
        </w:rPr>
        <w:t xml:space="preserve">from the </w:t>
      </w:r>
      <w:r w:rsidR="00BF626D" w:rsidRPr="007617B0">
        <w:rPr>
          <w:rFonts w:ascii="Aptos" w:hAnsi="Aptos"/>
        </w:rPr>
        <w:t>p</w:t>
      </w:r>
      <w:r w:rsidRPr="007617B0">
        <w:rPr>
          <w:rFonts w:ascii="Aptos" w:hAnsi="Aptos"/>
        </w:rPr>
        <w:t xml:space="preserve">rocurement at </w:t>
      </w:r>
      <w:r w:rsidR="00BF626D" w:rsidRPr="007617B0">
        <w:rPr>
          <w:rFonts w:ascii="Aptos" w:hAnsi="Aptos"/>
        </w:rPr>
        <w:t>OAT’s</w:t>
      </w:r>
      <w:r w:rsidRPr="007617B0">
        <w:rPr>
          <w:rFonts w:ascii="Aptos" w:hAnsi="Aptos"/>
        </w:rPr>
        <w:t xml:space="preserve"> sole discretion.</w:t>
      </w:r>
    </w:p>
    <w:p w14:paraId="52931734" w14:textId="3F7465B5" w:rsidR="00710321" w:rsidRPr="007617B0" w:rsidRDefault="00286F94" w:rsidP="007D0743">
      <w:pPr>
        <w:pStyle w:val="Heading2"/>
        <w:numPr>
          <w:ilvl w:val="0"/>
          <w:numId w:val="51"/>
        </w:numPr>
        <w:rPr>
          <w:rFonts w:ascii="Aptos" w:hAnsi="Aptos" w:cs="Arial"/>
        </w:rPr>
      </w:pPr>
      <w:bookmarkStart w:id="127" w:name="_Toc208856237"/>
      <w:bookmarkStart w:id="128" w:name="_Toc208864869"/>
      <w:r w:rsidRPr="00E00A7B">
        <w:rPr>
          <w:rFonts w:ascii="Aptos" w:hAnsi="Aptos" w:cs="Arial"/>
        </w:rPr>
        <w:t>Find a Tender</w:t>
      </w:r>
      <w:r w:rsidR="00753656" w:rsidRPr="00E00A7B">
        <w:rPr>
          <w:rFonts w:ascii="Aptos" w:hAnsi="Aptos" w:cs="Arial"/>
        </w:rPr>
        <w:t xml:space="preserve"> (Central Digital Platform)</w:t>
      </w:r>
      <w:bookmarkEnd w:id="127"/>
      <w:bookmarkEnd w:id="128"/>
    </w:p>
    <w:p w14:paraId="6FEDF490" w14:textId="4A9920E0" w:rsidR="00710321" w:rsidRPr="007617B0" w:rsidRDefault="00EC6226" w:rsidP="007D0743">
      <w:pPr>
        <w:pStyle w:val="Parasubclause1"/>
        <w:numPr>
          <w:ilvl w:val="0"/>
          <w:numId w:val="44"/>
        </w:numPr>
        <w:rPr>
          <w:rFonts w:ascii="Aptos" w:hAnsi="Aptos"/>
        </w:rPr>
      </w:pPr>
      <w:r w:rsidRPr="007617B0">
        <w:rPr>
          <w:rFonts w:ascii="Aptos" w:hAnsi="Aptos"/>
        </w:rPr>
        <w:t>Tenderers</w:t>
      </w:r>
      <w:r w:rsidR="00710321" w:rsidRPr="007617B0">
        <w:rPr>
          <w:rFonts w:ascii="Aptos" w:hAnsi="Aptos"/>
        </w:rPr>
        <w:t xml:space="preserve"> that wish to participate in this </w:t>
      </w:r>
      <w:r w:rsidR="005A4413" w:rsidRPr="007617B0">
        <w:rPr>
          <w:rFonts w:ascii="Aptos" w:hAnsi="Aptos"/>
        </w:rPr>
        <w:t>p</w:t>
      </w:r>
      <w:r w:rsidR="00710321" w:rsidRPr="007617B0">
        <w:rPr>
          <w:rFonts w:ascii="Aptos" w:hAnsi="Aptos"/>
        </w:rPr>
        <w:t xml:space="preserve">rocurement are responsible for ensuring that </w:t>
      </w:r>
      <w:r w:rsidR="00286F94" w:rsidRPr="007617B0">
        <w:rPr>
          <w:rFonts w:ascii="Aptos" w:hAnsi="Aptos"/>
        </w:rPr>
        <w:t>Find a Tender</w:t>
      </w:r>
      <w:r w:rsidR="00710321" w:rsidRPr="007617B0">
        <w:rPr>
          <w:rFonts w:ascii="Aptos" w:hAnsi="Aptos"/>
        </w:rPr>
        <w:t xml:space="preserve"> contains complete, accurate and up-to-date information about their organisation and any </w:t>
      </w:r>
      <w:r w:rsidR="00BF626D" w:rsidRPr="007617B0">
        <w:rPr>
          <w:rFonts w:ascii="Aptos" w:hAnsi="Aptos"/>
        </w:rPr>
        <w:t>a</w:t>
      </w:r>
      <w:r w:rsidR="00710321" w:rsidRPr="007617B0">
        <w:rPr>
          <w:rFonts w:ascii="Aptos" w:hAnsi="Aptos"/>
        </w:rPr>
        <w:t xml:space="preserve">ssociated </w:t>
      </w:r>
      <w:r w:rsidR="00BF626D" w:rsidRPr="007617B0">
        <w:rPr>
          <w:rFonts w:ascii="Aptos" w:hAnsi="Aptos"/>
        </w:rPr>
        <w:t>s</w:t>
      </w:r>
      <w:r w:rsidR="00710321" w:rsidRPr="007617B0">
        <w:rPr>
          <w:rFonts w:ascii="Aptos" w:hAnsi="Aptos"/>
        </w:rPr>
        <w:t xml:space="preserve">uppliers which are relevant for the purposes of this </w:t>
      </w:r>
      <w:r w:rsidR="00BF626D" w:rsidRPr="007617B0">
        <w:rPr>
          <w:rFonts w:ascii="Aptos" w:hAnsi="Aptos"/>
        </w:rPr>
        <w:t>p</w:t>
      </w:r>
      <w:r w:rsidR="00710321" w:rsidRPr="007617B0">
        <w:rPr>
          <w:rFonts w:ascii="Aptos" w:hAnsi="Aptos"/>
        </w:rPr>
        <w:t>rocurement.</w:t>
      </w:r>
      <w:r w:rsidR="00BF626D" w:rsidRPr="007617B0">
        <w:rPr>
          <w:rFonts w:ascii="Aptos" w:hAnsi="Aptos"/>
        </w:rPr>
        <w:t xml:space="preserve"> Tenderers</w:t>
      </w:r>
      <w:r w:rsidR="00710321" w:rsidRPr="007617B0">
        <w:rPr>
          <w:rFonts w:ascii="Aptos" w:hAnsi="Aptos"/>
        </w:rPr>
        <w:t xml:space="preserve"> must notify </w:t>
      </w:r>
      <w:r w:rsidR="00BF626D" w:rsidRPr="007617B0">
        <w:rPr>
          <w:rFonts w:ascii="Aptos" w:hAnsi="Aptos"/>
        </w:rPr>
        <w:t>OAT</w:t>
      </w:r>
      <w:r w:rsidR="00710321" w:rsidRPr="007617B0">
        <w:rPr>
          <w:rFonts w:ascii="Aptos" w:hAnsi="Aptos"/>
        </w:rPr>
        <w:t xml:space="preserve"> immediately if it is unable to register on </w:t>
      </w:r>
      <w:r w:rsidR="0064242D" w:rsidRPr="007617B0">
        <w:rPr>
          <w:rFonts w:ascii="Aptos" w:hAnsi="Aptos"/>
        </w:rPr>
        <w:t>Find a Tender</w:t>
      </w:r>
      <w:r w:rsidR="00710321" w:rsidRPr="007617B0">
        <w:rPr>
          <w:rFonts w:ascii="Aptos" w:hAnsi="Aptos"/>
        </w:rPr>
        <w:t xml:space="preserve"> and/or provide accurate and up-to-date information via the </w:t>
      </w:r>
      <w:r w:rsidR="0064242D" w:rsidRPr="007617B0">
        <w:rPr>
          <w:rFonts w:ascii="Aptos" w:hAnsi="Aptos"/>
        </w:rPr>
        <w:t>Find a Tender</w:t>
      </w:r>
      <w:r w:rsidR="00710321" w:rsidRPr="007617B0">
        <w:rPr>
          <w:rFonts w:ascii="Aptos" w:hAnsi="Aptos"/>
        </w:rPr>
        <w:t xml:space="preserve"> Platform. </w:t>
      </w:r>
    </w:p>
    <w:p w14:paraId="16CC2DE1" w14:textId="77777777" w:rsidR="00710321" w:rsidRPr="007617B0" w:rsidRDefault="00710321" w:rsidP="007D0743">
      <w:pPr>
        <w:pStyle w:val="Heading2"/>
        <w:numPr>
          <w:ilvl w:val="0"/>
          <w:numId w:val="51"/>
        </w:numPr>
        <w:rPr>
          <w:rFonts w:ascii="Aptos" w:hAnsi="Aptos" w:cs="Arial"/>
        </w:rPr>
      </w:pPr>
      <w:bookmarkStart w:id="129" w:name="_Toc208856238"/>
      <w:bookmarkStart w:id="130" w:name="_Toc208864870"/>
      <w:r w:rsidRPr="007617B0">
        <w:rPr>
          <w:rFonts w:ascii="Aptos" w:hAnsi="Aptos" w:cs="Arial"/>
        </w:rPr>
        <w:t>Transparency</w:t>
      </w:r>
      <w:bookmarkEnd w:id="129"/>
      <w:bookmarkEnd w:id="130"/>
    </w:p>
    <w:p w14:paraId="0D148AA1" w14:textId="0BB523B5" w:rsidR="002F50BD" w:rsidRPr="007617B0" w:rsidRDefault="00945546" w:rsidP="004347A7">
      <w:pPr>
        <w:pStyle w:val="Parasubclause1"/>
        <w:numPr>
          <w:ilvl w:val="0"/>
          <w:numId w:val="44"/>
        </w:numPr>
        <w:spacing w:before="0" w:after="0"/>
        <w:rPr>
          <w:rFonts w:ascii="Aptos" w:hAnsi="Aptos" w:cstheme="minorHAnsi"/>
        </w:rPr>
      </w:pPr>
      <w:bookmarkStart w:id="131" w:name="_Toc189059398"/>
      <w:r w:rsidRPr="007617B0">
        <w:rPr>
          <w:rFonts w:ascii="Aptos" w:hAnsi="Aptos" w:cstheme="minorHAnsi"/>
        </w:rPr>
        <w:t xml:space="preserve">Tenderers should note that, in accordance with general transparency obligations and procurement law obligations under the Act, OAT routinely publishes details of its procurement processes and awarded contracts. This includes, but is not limited to, the contract value, the identity of the successful Tenderer compliance with payment obligations, key performance indicators and contract performance. Compliance with these obligations may involve OAT taking steps without consultation with Tenderers. </w:t>
      </w:r>
    </w:p>
    <w:p w14:paraId="5BDD0792" w14:textId="74F79086" w:rsidR="002F50BD" w:rsidRPr="007617B0" w:rsidRDefault="002F50BD" w:rsidP="004347A7">
      <w:pPr>
        <w:pStyle w:val="Parasubclause1"/>
        <w:numPr>
          <w:ilvl w:val="0"/>
          <w:numId w:val="44"/>
        </w:numPr>
        <w:rPr>
          <w:rFonts w:ascii="Aptos" w:hAnsi="Aptos"/>
        </w:rPr>
      </w:pPr>
      <w:r w:rsidRPr="007617B0">
        <w:rPr>
          <w:rFonts w:ascii="Aptos" w:hAnsi="Aptos"/>
        </w:rPr>
        <w:t xml:space="preserve">OAT is required under certain circumstances to publish the </w:t>
      </w:r>
      <w:r w:rsidR="006971C3" w:rsidRPr="007617B0">
        <w:rPr>
          <w:rFonts w:ascii="Aptos" w:hAnsi="Aptos"/>
        </w:rPr>
        <w:t>C</w:t>
      </w:r>
      <w:r w:rsidRPr="007617B0">
        <w:rPr>
          <w:rFonts w:ascii="Aptos" w:hAnsi="Aptos"/>
        </w:rPr>
        <w:t xml:space="preserve">ontract in accordance with the </w:t>
      </w:r>
      <w:r w:rsidR="00E01231" w:rsidRPr="007617B0">
        <w:rPr>
          <w:rFonts w:ascii="Aptos" w:hAnsi="Aptos"/>
        </w:rPr>
        <w:t>Act</w:t>
      </w:r>
      <w:r w:rsidRPr="007617B0">
        <w:rPr>
          <w:rFonts w:ascii="Aptos" w:hAnsi="Aptos"/>
        </w:rPr>
        <w:t xml:space="preserve">. By submitting a </w:t>
      </w:r>
      <w:r w:rsidR="006971C3" w:rsidRPr="007617B0">
        <w:rPr>
          <w:rFonts w:ascii="Aptos" w:hAnsi="Aptos"/>
        </w:rPr>
        <w:t>T</w:t>
      </w:r>
      <w:r w:rsidRPr="007617B0">
        <w:rPr>
          <w:rFonts w:ascii="Aptos" w:hAnsi="Aptos"/>
        </w:rPr>
        <w:t xml:space="preserve">ender, the </w:t>
      </w:r>
      <w:r w:rsidR="00033B83" w:rsidRPr="007617B0">
        <w:rPr>
          <w:rFonts w:ascii="Aptos" w:hAnsi="Aptos"/>
        </w:rPr>
        <w:t xml:space="preserve">successful </w:t>
      </w:r>
      <w:r w:rsidR="006971C3" w:rsidRPr="007617B0">
        <w:rPr>
          <w:rFonts w:ascii="Aptos" w:hAnsi="Aptos"/>
        </w:rPr>
        <w:t>T</w:t>
      </w:r>
      <w:r w:rsidR="00033B83" w:rsidRPr="007617B0">
        <w:rPr>
          <w:rFonts w:ascii="Aptos" w:hAnsi="Aptos"/>
        </w:rPr>
        <w:t xml:space="preserve">enderer </w:t>
      </w:r>
      <w:r w:rsidR="00945152" w:rsidRPr="007617B0">
        <w:rPr>
          <w:rFonts w:ascii="Aptos" w:hAnsi="Aptos"/>
        </w:rPr>
        <w:t xml:space="preserve">is </w:t>
      </w:r>
      <w:r w:rsidR="00033B83" w:rsidRPr="007617B0">
        <w:rPr>
          <w:rFonts w:ascii="Aptos" w:hAnsi="Aptos"/>
        </w:rPr>
        <w:t>agree</w:t>
      </w:r>
      <w:r w:rsidR="00945152" w:rsidRPr="007617B0">
        <w:rPr>
          <w:rFonts w:ascii="Aptos" w:hAnsi="Aptos"/>
        </w:rPr>
        <w:t>ing</w:t>
      </w:r>
      <w:r w:rsidRPr="007617B0">
        <w:rPr>
          <w:rFonts w:ascii="Aptos" w:hAnsi="Aptos"/>
        </w:rPr>
        <w:t xml:space="preserve"> </w:t>
      </w:r>
      <w:r w:rsidR="00A20C0B" w:rsidRPr="007617B0">
        <w:rPr>
          <w:rFonts w:ascii="Aptos" w:hAnsi="Aptos"/>
        </w:rPr>
        <w:t>to enable OAT to fulfil its legislative obligations under the</w:t>
      </w:r>
      <w:r w:rsidR="00E01231" w:rsidRPr="007617B0">
        <w:rPr>
          <w:rFonts w:ascii="Aptos" w:hAnsi="Aptos"/>
        </w:rPr>
        <w:t xml:space="preserve"> Act b</w:t>
      </w:r>
      <w:r w:rsidR="00A20C0B" w:rsidRPr="007617B0">
        <w:rPr>
          <w:rFonts w:ascii="Aptos" w:hAnsi="Aptos"/>
        </w:rPr>
        <w:t xml:space="preserve">y </w:t>
      </w:r>
      <w:r w:rsidRPr="007617B0">
        <w:rPr>
          <w:rFonts w:ascii="Aptos" w:hAnsi="Aptos"/>
        </w:rPr>
        <w:t>provid</w:t>
      </w:r>
      <w:r w:rsidR="00A20C0B" w:rsidRPr="007617B0">
        <w:rPr>
          <w:rFonts w:ascii="Aptos" w:hAnsi="Aptos"/>
        </w:rPr>
        <w:t>ing</w:t>
      </w:r>
      <w:r w:rsidRPr="007617B0">
        <w:rPr>
          <w:rFonts w:ascii="Aptos" w:hAnsi="Aptos"/>
        </w:rPr>
        <w:t xml:space="preserve"> to OAT a </w:t>
      </w:r>
      <w:r w:rsidR="006971C3" w:rsidRPr="007617B0">
        <w:rPr>
          <w:rFonts w:ascii="Aptos" w:hAnsi="Aptos"/>
        </w:rPr>
        <w:t>C</w:t>
      </w:r>
      <w:r w:rsidRPr="007617B0">
        <w:rPr>
          <w:rFonts w:ascii="Aptos" w:hAnsi="Aptos"/>
        </w:rPr>
        <w:t>ontract</w:t>
      </w:r>
      <w:r w:rsidR="00CD61A4" w:rsidRPr="007617B0">
        <w:rPr>
          <w:rFonts w:ascii="Aptos" w:hAnsi="Aptos"/>
        </w:rPr>
        <w:t xml:space="preserve"> redacted</w:t>
      </w:r>
      <w:r w:rsidR="00A20C0B" w:rsidRPr="007617B0">
        <w:rPr>
          <w:rFonts w:ascii="Aptos" w:hAnsi="Aptos"/>
        </w:rPr>
        <w:t xml:space="preserve"> in accordance with </w:t>
      </w:r>
      <w:r w:rsidR="00CD61A4" w:rsidRPr="007617B0">
        <w:rPr>
          <w:rFonts w:ascii="Aptos" w:hAnsi="Aptos"/>
        </w:rPr>
        <w:t>the Act</w:t>
      </w:r>
      <w:r w:rsidR="00EB1357" w:rsidRPr="007617B0">
        <w:rPr>
          <w:rFonts w:ascii="Aptos" w:hAnsi="Aptos"/>
        </w:rPr>
        <w:t>,</w:t>
      </w:r>
      <w:r w:rsidRPr="007617B0">
        <w:rPr>
          <w:rFonts w:ascii="Aptos" w:hAnsi="Aptos"/>
        </w:rPr>
        <w:t xml:space="preserve"> when requested to do so</w:t>
      </w:r>
      <w:r w:rsidR="00EB1357" w:rsidRPr="007617B0">
        <w:rPr>
          <w:rFonts w:ascii="Aptos" w:hAnsi="Aptos"/>
        </w:rPr>
        <w:t>,</w:t>
      </w:r>
      <w:r w:rsidRPr="007617B0">
        <w:rPr>
          <w:rFonts w:ascii="Aptos" w:hAnsi="Aptos"/>
        </w:rPr>
        <w:t xml:space="preserve"> and within the timescales required</w:t>
      </w:r>
      <w:r w:rsidR="006971C3" w:rsidRPr="007617B0">
        <w:rPr>
          <w:rFonts w:ascii="Aptos" w:hAnsi="Aptos"/>
        </w:rPr>
        <w:t xml:space="preserve"> by OAT</w:t>
      </w:r>
      <w:r w:rsidRPr="007617B0">
        <w:rPr>
          <w:rFonts w:ascii="Aptos" w:hAnsi="Aptos"/>
        </w:rPr>
        <w:t xml:space="preserve">. For the avoidance of doubt, it is OAT’s decision as to whether it accepts what has been redacted or not and what is finally published in accordance with the </w:t>
      </w:r>
      <w:r w:rsidR="0081329A" w:rsidRPr="007617B0">
        <w:rPr>
          <w:rFonts w:ascii="Aptos" w:hAnsi="Aptos"/>
        </w:rPr>
        <w:t>Act.</w:t>
      </w:r>
    </w:p>
    <w:p w14:paraId="49785311" w14:textId="7CD755A5" w:rsidR="002F50BD" w:rsidRPr="007617B0" w:rsidRDefault="002F50BD" w:rsidP="004347A7">
      <w:pPr>
        <w:pStyle w:val="Parasubclause1"/>
        <w:numPr>
          <w:ilvl w:val="0"/>
          <w:numId w:val="44"/>
        </w:numPr>
        <w:rPr>
          <w:rFonts w:ascii="Aptos" w:hAnsi="Aptos"/>
        </w:rPr>
      </w:pPr>
      <w:r w:rsidRPr="007617B0">
        <w:rPr>
          <w:rFonts w:ascii="Aptos" w:hAnsi="Aptos"/>
        </w:rPr>
        <w:t xml:space="preserve">By submitting a </w:t>
      </w:r>
      <w:r w:rsidR="006971C3" w:rsidRPr="007617B0">
        <w:rPr>
          <w:rFonts w:ascii="Aptos" w:hAnsi="Aptos"/>
        </w:rPr>
        <w:t>T</w:t>
      </w:r>
      <w:r w:rsidRPr="007617B0">
        <w:rPr>
          <w:rFonts w:ascii="Aptos" w:hAnsi="Aptos"/>
        </w:rPr>
        <w:t xml:space="preserve">ender, </w:t>
      </w:r>
      <w:r w:rsidR="006971C3" w:rsidRPr="007617B0">
        <w:rPr>
          <w:rFonts w:ascii="Aptos" w:hAnsi="Aptos"/>
        </w:rPr>
        <w:t>T</w:t>
      </w:r>
      <w:r w:rsidR="00945152" w:rsidRPr="007617B0">
        <w:rPr>
          <w:rFonts w:ascii="Aptos" w:hAnsi="Aptos"/>
        </w:rPr>
        <w:t>enderers are agreeing</w:t>
      </w:r>
      <w:r w:rsidRPr="007617B0">
        <w:rPr>
          <w:rFonts w:ascii="Aptos" w:hAnsi="Aptos"/>
        </w:rPr>
        <w:t xml:space="preserve"> that in certain circumstances under the </w:t>
      </w:r>
      <w:r w:rsidR="0081329A" w:rsidRPr="007617B0">
        <w:rPr>
          <w:rFonts w:ascii="Aptos" w:hAnsi="Aptos"/>
        </w:rPr>
        <w:t>Act</w:t>
      </w:r>
      <w:r w:rsidRPr="007617B0">
        <w:rPr>
          <w:rFonts w:ascii="Aptos" w:hAnsi="Aptos"/>
        </w:rPr>
        <w:t xml:space="preserve"> OAT may be legally required to publish the Contract and any KPIs or Default notices or termination notices</w:t>
      </w:r>
      <w:r w:rsidR="00E62A2F" w:rsidRPr="007617B0">
        <w:rPr>
          <w:rFonts w:ascii="Aptos" w:hAnsi="Aptos"/>
        </w:rPr>
        <w:t>.</w:t>
      </w:r>
    </w:p>
    <w:p w14:paraId="5FB23382" w14:textId="77777777" w:rsidR="00945546" w:rsidRPr="007617B0" w:rsidRDefault="00945546" w:rsidP="004347A7">
      <w:pPr>
        <w:pStyle w:val="Parasubclause1"/>
        <w:numPr>
          <w:ilvl w:val="0"/>
          <w:numId w:val="44"/>
        </w:numPr>
        <w:rPr>
          <w:rFonts w:ascii="Aptos" w:hAnsi="Aptos" w:cstheme="minorHAnsi"/>
        </w:rPr>
      </w:pPr>
      <w:r w:rsidRPr="007617B0">
        <w:rPr>
          <w:rFonts w:ascii="Aptos" w:hAnsi="Aptos" w:cstheme="minorHAnsi"/>
        </w:rPr>
        <w:t>Where required, OAT will disclose on a confidential basis any information it receives from Tenderers during the procurement to any third party engaged by OAT for the specific purpose of assessing or assisting OAT in assessing the Tenderers submission. In providing such information the Tenderer consents to such disclosure.</w:t>
      </w:r>
    </w:p>
    <w:p w14:paraId="70606844" w14:textId="77777777" w:rsidR="00710321" w:rsidRPr="007617B0" w:rsidRDefault="00710321" w:rsidP="0043347C">
      <w:pPr>
        <w:pStyle w:val="Heading2"/>
        <w:numPr>
          <w:ilvl w:val="0"/>
          <w:numId w:val="51"/>
        </w:numPr>
        <w:rPr>
          <w:rFonts w:ascii="Aptos" w:hAnsi="Aptos" w:cs="Arial"/>
        </w:rPr>
      </w:pPr>
      <w:bookmarkStart w:id="132" w:name="_Toc208856239"/>
      <w:bookmarkStart w:id="133" w:name="_Toc208864871"/>
      <w:r w:rsidRPr="007617B0">
        <w:rPr>
          <w:rFonts w:ascii="Aptos" w:hAnsi="Aptos" w:cs="Arial"/>
        </w:rPr>
        <w:lastRenderedPageBreak/>
        <w:t>Modifying the Procurement</w:t>
      </w:r>
      <w:bookmarkEnd w:id="131"/>
      <w:bookmarkEnd w:id="132"/>
      <w:bookmarkEnd w:id="133"/>
    </w:p>
    <w:p w14:paraId="3D8CF1DD" w14:textId="7861C532" w:rsidR="00710321" w:rsidRPr="007617B0" w:rsidRDefault="00710321" w:rsidP="004347A7">
      <w:pPr>
        <w:pStyle w:val="Parasubclause1"/>
        <w:numPr>
          <w:ilvl w:val="0"/>
          <w:numId w:val="44"/>
        </w:numPr>
        <w:rPr>
          <w:rFonts w:ascii="Aptos" w:hAnsi="Aptos"/>
          <w:color w:val="auto"/>
        </w:rPr>
      </w:pPr>
      <w:r w:rsidRPr="007617B0">
        <w:rPr>
          <w:rFonts w:ascii="Aptos" w:hAnsi="Aptos"/>
          <w:color w:val="auto"/>
        </w:rPr>
        <w:t xml:space="preserve">Neither the Tender Notice, this document nor any information given as part of the </w:t>
      </w:r>
      <w:r w:rsidR="005A4413" w:rsidRPr="007617B0">
        <w:rPr>
          <w:rFonts w:ascii="Aptos" w:hAnsi="Aptos"/>
          <w:color w:val="auto"/>
        </w:rPr>
        <w:t>p</w:t>
      </w:r>
      <w:r w:rsidRPr="007617B0">
        <w:rPr>
          <w:rFonts w:ascii="Aptos" w:hAnsi="Aptos"/>
          <w:color w:val="auto"/>
        </w:rPr>
        <w:t xml:space="preserve">rocurement shall be regarded as a commitment or representation on the part of </w:t>
      </w:r>
      <w:r w:rsidR="005A4413" w:rsidRPr="007617B0">
        <w:rPr>
          <w:rFonts w:ascii="Aptos" w:hAnsi="Aptos"/>
          <w:color w:val="auto"/>
        </w:rPr>
        <w:t>OAT</w:t>
      </w:r>
      <w:r w:rsidRPr="007617B0">
        <w:rPr>
          <w:rFonts w:ascii="Aptos" w:hAnsi="Aptos"/>
          <w:color w:val="auto"/>
        </w:rPr>
        <w:t xml:space="preserve"> (or any other person) to enter into a contractual agreement.</w:t>
      </w:r>
    </w:p>
    <w:p w14:paraId="63277A2F" w14:textId="11E8815E" w:rsidR="00710321" w:rsidRPr="007617B0" w:rsidRDefault="004A17D1" w:rsidP="004347A7">
      <w:pPr>
        <w:pStyle w:val="Parasubclause1"/>
        <w:numPr>
          <w:ilvl w:val="0"/>
          <w:numId w:val="44"/>
        </w:numPr>
        <w:rPr>
          <w:rFonts w:ascii="Aptos" w:hAnsi="Aptos"/>
        </w:rPr>
      </w:pPr>
      <w:r w:rsidRPr="007617B0">
        <w:rPr>
          <w:rFonts w:ascii="Aptos" w:hAnsi="Aptos"/>
          <w:color w:val="auto"/>
        </w:rPr>
        <w:t>OAT reserves</w:t>
      </w:r>
      <w:r w:rsidR="00710321" w:rsidRPr="007617B0">
        <w:rPr>
          <w:rFonts w:ascii="Aptos" w:hAnsi="Aptos"/>
          <w:color w:val="auto"/>
        </w:rPr>
        <w:t xml:space="preserve"> the right </w:t>
      </w:r>
      <w:r w:rsidR="00710321" w:rsidRPr="007617B0">
        <w:rPr>
          <w:rFonts w:ascii="Aptos" w:hAnsi="Aptos"/>
        </w:rPr>
        <w:t xml:space="preserve">to cancel the </w:t>
      </w:r>
      <w:r w:rsidR="00BF626D" w:rsidRPr="007617B0">
        <w:rPr>
          <w:rFonts w:ascii="Aptos" w:hAnsi="Aptos"/>
        </w:rPr>
        <w:t>p</w:t>
      </w:r>
      <w:r w:rsidR="00710321" w:rsidRPr="007617B0">
        <w:rPr>
          <w:rFonts w:ascii="Aptos" w:hAnsi="Aptos"/>
        </w:rPr>
        <w:t xml:space="preserve">rocurement at any point and/or to choose not to award any </w:t>
      </w:r>
      <w:r w:rsidR="00BF626D" w:rsidRPr="007617B0">
        <w:rPr>
          <w:rFonts w:ascii="Aptos" w:hAnsi="Aptos"/>
        </w:rPr>
        <w:t>C</w:t>
      </w:r>
      <w:r w:rsidR="00710321" w:rsidRPr="007617B0">
        <w:rPr>
          <w:rFonts w:ascii="Aptos" w:hAnsi="Aptos"/>
        </w:rPr>
        <w:t>ontr</w:t>
      </w:r>
      <w:r w:rsidR="00710321" w:rsidRPr="00FA3CFC">
        <w:rPr>
          <w:rFonts w:ascii="Aptos" w:hAnsi="Aptos"/>
        </w:rPr>
        <w:t xml:space="preserve">act or lot </w:t>
      </w:r>
      <w:proofErr w:type="gramStart"/>
      <w:r w:rsidR="00710321" w:rsidRPr="00FA3CFC">
        <w:rPr>
          <w:rFonts w:ascii="Aptos" w:hAnsi="Aptos"/>
        </w:rPr>
        <w:t>as</w:t>
      </w:r>
      <w:r w:rsidR="00710321" w:rsidRPr="007617B0">
        <w:rPr>
          <w:rFonts w:ascii="Aptos" w:hAnsi="Aptos"/>
        </w:rPr>
        <w:t xml:space="preserve"> a result of</w:t>
      </w:r>
      <w:proofErr w:type="gramEnd"/>
      <w:r w:rsidR="00710321" w:rsidRPr="007617B0">
        <w:rPr>
          <w:rFonts w:ascii="Aptos" w:hAnsi="Aptos"/>
        </w:rPr>
        <w:t xml:space="preserve"> this </w:t>
      </w:r>
      <w:r w:rsidR="00BF626D" w:rsidRPr="007617B0">
        <w:rPr>
          <w:rFonts w:ascii="Aptos" w:hAnsi="Aptos"/>
        </w:rPr>
        <w:t>p</w:t>
      </w:r>
      <w:r w:rsidR="00710321" w:rsidRPr="007617B0">
        <w:rPr>
          <w:rFonts w:ascii="Aptos" w:hAnsi="Aptos"/>
        </w:rPr>
        <w:t xml:space="preserve">rocurement. </w:t>
      </w:r>
      <w:r w:rsidR="00710321" w:rsidRPr="008A5390">
        <w:rPr>
          <w:rFonts w:ascii="Aptos" w:hAnsi="Aptos"/>
        </w:rPr>
        <w:t xml:space="preserve">Any decision by </w:t>
      </w:r>
      <w:r w:rsidR="00BF626D" w:rsidRPr="008A5390">
        <w:rPr>
          <w:rFonts w:ascii="Aptos" w:hAnsi="Aptos"/>
        </w:rPr>
        <w:t>OAT</w:t>
      </w:r>
      <w:r w:rsidR="00710321" w:rsidRPr="008A5390">
        <w:rPr>
          <w:rFonts w:ascii="Aptos" w:hAnsi="Aptos"/>
        </w:rPr>
        <w:t xml:space="preserve"> not to award a lot does not prevent </w:t>
      </w:r>
      <w:r w:rsidR="00F9132C" w:rsidRPr="008A5390">
        <w:rPr>
          <w:rFonts w:ascii="Aptos" w:hAnsi="Aptos"/>
        </w:rPr>
        <w:t>OAT from</w:t>
      </w:r>
      <w:r w:rsidR="00710321" w:rsidRPr="008A5390">
        <w:rPr>
          <w:rFonts w:ascii="Aptos" w:hAnsi="Aptos"/>
        </w:rPr>
        <w:t xml:space="preserve"> awarding the remaining lots.</w:t>
      </w:r>
    </w:p>
    <w:p w14:paraId="01D58D3A" w14:textId="2CE5AD10" w:rsidR="00F9132C" w:rsidRPr="007617B0" w:rsidRDefault="00BF626D" w:rsidP="004347A7">
      <w:pPr>
        <w:pStyle w:val="Parasubclause1"/>
        <w:numPr>
          <w:ilvl w:val="0"/>
          <w:numId w:val="44"/>
        </w:numPr>
        <w:rPr>
          <w:rFonts w:ascii="Aptos" w:hAnsi="Aptos"/>
        </w:rPr>
      </w:pPr>
      <w:r w:rsidRPr="007617B0">
        <w:rPr>
          <w:rFonts w:ascii="Aptos" w:hAnsi="Aptos"/>
        </w:rPr>
        <w:t xml:space="preserve">Tenderers </w:t>
      </w:r>
      <w:r w:rsidR="00710321" w:rsidRPr="007617B0">
        <w:rPr>
          <w:rFonts w:ascii="Aptos" w:hAnsi="Aptos"/>
        </w:rPr>
        <w:t xml:space="preserve">will remain responsible for all costs and expenses incurred by them, their staff, and their advisers or by any third party acting under their instructions in connection with this </w:t>
      </w:r>
      <w:r w:rsidRPr="007617B0">
        <w:rPr>
          <w:rFonts w:ascii="Aptos" w:hAnsi="Aptos"/>
        </w:rPr>
        <w:t>p</w:t>
      </w:r>
      <w:r w:rsidR="00710321" w:rsidRPr="007617B0">
        <w:rPr>
          <w:rFonts w:ascii="Aptos" w:hAnsi="Aptos"/>
        </w:rPr>
        <w:t xml:space="preserve">rocurement. For the avoidance of doubt, </w:t>
      </w:r>
      <w:r w:rsidRPr="007617B0">
        <w:rPr>
          <w:rFonts w:ascii="Aptos" w:hAnsi="Aptos"/>
        </w:rPr>
        <w:t>OAT</w:t>
      </w:r>
      <w:r w:rsidR="00710321" w:rsidRPr="007617B0">
        <w:rPr>
          <w:rFonts w:ascii="Aptos" w:hAnsi="Aptos"/>
        </w:rPr>
        <w:t xml:space="preserve"> is not liable for any costs or expenditure resulting from any cancellation or amendment of this </w:t>
      </w:r>
      <w:r w:rsidRPr="007617B0">
        <w:rPr>
          <w:rFonts w:ascii="Aptos" w:hAnsi="Aptos"/>
        </w:rPr>
        <w:t>p</w:t>
      </w:r>
      <w:r w:rsidR="00710321" w:rsidRPr="007617B0">
        <w:rPr>
          <w:rFonts w:ascii="Aptos" w:hAnsi="Aptos"/>
        </w:rPr>
        <w:t>rocurement.</w:t>
      </w:r>
    </w:p>
    <w:p w14:paraId="5A6F3A0B" w14:textId="77777777" w:rsidR="00A01E86" w:rsidRPr="00A01E86" w:rsidRDefault="00A01E86" w:rsidP="00A01E86">
      <w:pPr>
        <w:pStyle w:val="Heading2"/>
        <w:numPr>
          <w:ilvl w:val="0"/>
          <w:numId w:val="51"/>
        </w:numPr>
        <w:rPr>
          <w:rFonts w:ascii="Aptos" w:hAnsi="Aptos" w:cs="Arial"/>
        </w:rPr>
      </w:pPr>
      <w:r w:rsidRPr="00A01E86">
        <w:rPr>
          <w:rFonts w:ascii="Aptos" w:hAnsi="Aptos" w:cs="Arial"/>
        </w:rPr>
        <w:t>Amendments</w:t>
      </w:r>
    </w:p>
    <w:p w14:paraId="5E8D0809" w14:textId="0992A922" w:rsidR="00EF5610" w:rsidRPr="007617B0" w:rsidRDefault="002241EA" w:rsidP="00EF5610">
      <w:pPr>
        <w:pStyle w:val="BodyText1"/>
        <w:ind w:left="357"/>
        <w:rPr>
          <w:rFonts w:ascii="Aptos" w:hAnsi="Aptos" w:cstheme="minorHAnsi"/>
          <w:color w:val="auto"/>
        </w:rPr>
      </w:pPr>
      <w:r w:rsidRPr="007617B0">
        <w:rPr>
          <w:rFonts w:ascii="Aptos" w:hAnsi="Aptos" w:cstheme="minorHAnsi"/>
        </w:rPr>
        <w:t>OAT</w:t>
      </w:r>
      <w:r w:rsidR="00710321" w:rsidRPr="007617B0">
        <w:rPr>
          <w:rFonts w:ascii="Aptos" w:hAnsi="Aptos" w:cstheme="minorHAnsi"/>
        </w:rPr>
        <w:t xml:space="preserve"> reserves </w:t>
      </w:r>
      <w:r w:rsidR="00710321" w:rsidRPr="007617B0">
        <w:rPr>
          <w:rFonts w:ascii="Aptos" w:hAnsi="Aptos" w:cstheme="minorHAnsi"/>
          <w:color w:val="auto"/>
        </w:rPr>
        <w:t>the right at any time:</w:t>
      </w:r>
    </w:p>
    <w:p w14:paraId="30E4EA64" w14:textId="6035D050" w:rsidR="00EF5610" w:rsidRPr="007617B0" w:rsidRDefault="00710321" w:rsidP="0043347C">
      <w:pPr>
        <w:pStyle w:val="BodyText1"/>
        <w:numPr>
          <w:ilvl w:val="0"/>
          <w:numId w:val="70"/>
        </w:numPr>
        <w:tabs>
          <w:tab w:val="left" w:pos="1530"/>
        </w:tabs>
        <w:ind w:left="1440" w:hanging="450"/>
        <w:rPr>
          <w:rFonts w:ascii="Aptos" w:hAnsi="Aptos" w:cstheme="minorHAnsi"/>
          <w:color w:val="auto"/>
        </w:rPr>
      </w:pPr>
      <w:r w:rsidRPr="007617B0">
        <w:rPr>
          <w:rFonts w:ascii="Aptos" w:hAnsi="Aptos" w:cstheme="minorHAnsi"/>
          <w:color w:val="auto"/>
        </w:rPr>
        <w:t xml:space="preserve">to issue amendments, modifications or additional information to any documentation which forms part of this </w:t>
      </w:r>
      <w:r w:rsidR="00BF626D" w:rsidRPr="007617B0">
        <w:rPr>
          <w:rFonts w:ascii="Aptos" w:hAnsi="Aptos" w:cstheme="minorHAnsi"/>
          <w:color w:val="auto"/>
        </w:rPr>
        <w:t>p</w:t>
      </w:r>
      <w:r w:rsidRPr="007617B0">
        <w:rPr>
          <w:rFonts w:ascii="Aptos" w:hAnsi="Aptos" w:cstheme="minorHAnsi"/>
          <w:color w:val="auto"/>
        </w:rPr>
        <w:t xml:space="preserve">rocurement, including the </w:t>
      </w:r>
      <w:r w:rsidR="00BF626D" w:rsidRPr="007617B0">
        <w:rPr>
          <w:rFonts w:ascii="Aptos" w:hAnsi="Aptos" w:cstheme="minorHAnsi"/>
          <w:color w:val="auto"/>
        </w:rPr>
        <w:t>p</w:t>
      </w:r>
      <w:r w:rsidRPr="007617B0">
        <w:rPr>
          <w:rFonts w:ascii="Aptos" w:hAnsi="Aptos" w:cstheme="minorHAnsi"/>
          <w:color w:val="auto"/>
        </w:rPr>
        <w:t xml:space="preserve">rocurement terms and conditions </w:t>
      </w:r>
      <w:r w:rsidR="00D212A2">
        <w:rPr>
          <w:rFonts w:ascii="Aptos" w:hAnsi="Aptos" w:cstheme="minorHAnsi"/>
          <w:color w:val="auto"/>
        </w:rPr>
        <w:t xml:space="preserve">(Framework Agreement) </w:t>
      </w:r>
      <w:r w:rsidR="00797BB8">
        <w:rPr>
          <w:rFonts w:ascii="Aptos" w:hAnsi="Aptos" w:cstheme="minorHAnsi"/>
          <w:color w:val="auto"/>
        </w:rPr>
        <w:t>attached</w:t>
      </w:r>
      <w:r w:rsidR="00797BB8" w:rsidRPr="007617B0">
        <w:rPr>
          <w:rFonts w:ascii="Aptos" w:hAnsi="Aptos" w:cstheme="minorHAnsi"/>
          <w:color w:val="auto"/>
        </w:rPr>
        <w:t xml:space="preserve"> </w:t>
      </w:r>
      <w:r w:rsidR="004C5721" w:rsidRPr="007617B0">
        <w:rPr>
          <w:rFonts w:ascii="Aptos" w:hAnsi="Aptos" w:cstheme="minorHAnsi"/>
          <w:color w:val="auto"/>
        </w:rPr>
        <w:t xml:space="preserve">in </w:t>
      </w:r>
      <w:r w:rsidR="004C5721" w:rsidRPr="004C5721">
        <w:rPr>
          <w:rFonts w:ascii="Aptos" w:hAnsi="Aptos" w:cstheme="minorHAnsi"/>
          <w:b/>
          <w:bCs/>
          <w:color w:val="auto"/>
        </w:rPr>
        <w:t>Schedule</w:t>
      </w:r>
      <w:r w:rsidR="005A4413" w:rsidRPr="004C5721">
        <w:rPr>
          <w:rFonts w:ascii="Aptos" w:hAnsi="Aptos" w:cstheme="minorHAnsi"/>
          <w:b/>
          <w:bCs/>
          <w:color w:val="auto"/>
        </w:rPr>
        <w:t xml:space="preserve"> 1. </w:t>
      </w:r>
    </w:p>
    <w:p w14:paraId="5C976C84" w14:textId="51363CB6" w:rsidR="00EF5610" w:rsidRPr="0043347C" w:rsidRDefault="00710321" w:rsidP="0043347C">
      <w:pPr>
        <w:pStyle w:val="BodyText1"/>
        <w:numPr>
          <w:ilvl w:val="0"/>
          <w:numId w:val="70"/>
        </w:numPr>
        <w:tabs>
          <w:tab w:val="left" w:pos="1530"/>
        </w:tabs>
        <w:ind w:left="1440" w:hanging="450"/>
        <w:rPr>
          <w:rFonts w:ascii="Aptos" w:hAnsi="Aptos" w:cstheme="minorHAnsi"/>
          <w:color w:val="auto"/>
        </w:rPr>
      </w:pPr>
      <w:r w:rsidRPr="0043347C">
        <w:rPr>
          <w:rFonts w:ascii="Aptos" w:hAnsi="Aptos" w:cstheme="minorHAnsi"/>
          <w:color w:val="auto"/>
        </w:rPr>
        <w:t>to require a</w:t>
      </w:r>
      <w:r w:rsidR="00BF626D" w:rsidRPr="0043347C">
        <w:rPr>
          <w:rFonts w:ascii="Aptos" w:hAnsi="Aptos" w:cstheme="minorHAnsi"/>
          <w:color w:val="auto"/>
        </w:rPr>
        <w:t xml:space="preserve"> Tenderer</w:t>
      </w:r>
      <w:r w:rsidRPr="0043347C">
        <w:rPr>
          <w:rFonts w:ascii="Aptos" w:hAnsi="Aptos" w:cstheme="minorHAnsi"/>
          <w:color w:val="auto"/>
        </w:rPr>
        <w:t xml:space="preserve"> to clarify their proposal(s) and/or tender submission in writing and/or provide additional information – failure by </w:t>
      </w:r>
      <w:r w:rsidR="00BF626D" w:rsidRPr="0043347C">
        <w:rPr>
          <w:rFonts w:ascii="Aptos" w:hAnsi="Aptos" w:cstheme="minorHAnsi"/>
          <w:color w:val="auto"/>
        </w:rPr>
        <w:t>a Tenderer</w:t>
      </w:r>
      <w:r w:rsidRPr="0043347C">
        <w:rPr>
          <w:rFonts w:ascii="Aptos" w:hAnsi="Aptos" w:cstheme="minorHAnsi"/>
          <w:color w:val="auto"/>
        </w:rPr>
        <w:t xml:space="preserve"> to respond adequately may result in their tender submission being rejected</w:t>
      </w:r>
    </w:p>
    <w:p w14:paraId="5F5F998B" w14:textId="00EEC9BD" w:rsidR="00EF5610" w:rsidRPr="0043347C" w:rsidRDefault="00710321" w:rsidP="0043347C">
      <w:pPr>
        <w:pStyle w:val="BodyText1"/>
        <w:numPr>
          <w:ilvl w:val="0"/>
          <w:numId w:val="70"/>
        </w:numPr>
        <w:tabs>
          <w:tab w:val="left" w:pos="1530"/>
        </w:tabs>
        <w:ind w:left="1440" w:hanging="450"/>
        <w:rPr>
          <w:rFonts w:ascii="Aptos" w:hAnsi="Aptos" w:cstheme="minorHAnsi"/>
          <w:color w:val="auto"/>
        </w:rPr>
      </w:pPr>
      <w:r w:rsidRPr="0043347C">
        <w:rPr>
          <w:rFonts w:ascii="Aptos" w:hAnsi="Aptos" w:cstheme="minorHAnsi"/>
          <w:color w:val="auto"/>
        </w:rPr>
        <w:t xml:space="preserve">to alter the Procurement Timetable for this </w:t>
      </w:r>
      <w:r w:rsidR="00BF626D" w:rsidRPr="0043347C">
        <w:rPr>
          <w:rFonts w:ascii="Aptos" w:hAnsi="Aptos" w:cstheme="minorHAnsi"/>
          <w:color w:val="auto"/>
        </w:rPr>
        <w:t>p</w:t>
      </w:r>
      <w:r w:rsidRPr="0043347C">
        <w:rPr>
          <w:rFonts w:ascii="Aptos" w:hAnsi="Aptos" w:cstheme="minorHAnsi"/>
          <w:color w:val="auto"/>
        </w:rPr>
        <w:t>rocurement including the right to award different lots at different times</w:t>
      </w:r>
      <w:r w:rsidR="00F9582E" w:rsidRPr="0043347C">
        <w:rPr>
          <w:rFonts w:ascii="Aptos" w:hAnsi="Aptos" w:cstheme="minorHAnsi"/>
          <w:color w:val="auto"/>
        </w:rPr>
        <w:t>.</w:t>
      </w:r>
    </w:p>
    <w:p w14:paraId="659627A4" w14:textId="0A1E5C36" w:rsidR="00EF5610" w:rsidRPr="0043347C" w:rsidRDefault="00710321" w:rsidP="0043347C">
      <w:pPr>
        <w:pStyle w:val="BodyText1"/>
        <w:numPr>
          <w:ilvl w:val="0"/>
          <w:numId w:val="70"/>
        </w:numPr>
        <w:tabs>
          <w:tab w:val="left" w:pos="1530"/>
        </w:tabs>
        <w:ind w:left="1440" w:hanging="450"/>
        <w:rPr>
          <w:rFonts w:ascii="Aptos" w:hAnsi="Aptos" w:cstheme="minorHAnsi"/>
          <w:color w:val="auto"/>
        </w:rPr>
      </w:pPr>
      <w:r w:rsidRPr="0043347C">
        <w:rPr>
          <w:rFonts w:ascii="Aptos" w:hAnsi="Aptos" w:cstheme="minorHAnsi"/>
          <w:color w:val="auto"/>
        </w:rPr>
        <w:t>to re</w:t>
      </w:r>
      <w:r w:rsidR="00720E81" w:rsidRPr="0043347C">
        <w:rPr>
          <w:rFonts w:ascii="Aptos" w:hAnsi="Aptos" w:cstheme="minorHAnsi"/>
          <w:color w:val="auto"/>
        </w:rPr>
        <w:t>-</w:t>
      </w:r>
      <w:r w:rsidRPr="0043347C">
        <w:rPr>
          <w:rFonts w:ascii="Aptos" w:hAnsi="Aptos" w:cstheme="minorHAnsi"/>
          <w:color w:val="auto"/>
        </w:rPr>
        <w:t xml:space="preserve">wind and re-run any part of the </w:t>
      </w:r>
      <w:r w:rsidR="00BF626D" w:rsidRPr="0043347C">
        <w:rPr>
          <w:rFonts w:ascii="Aptos" w:hAnsi="Aptos" w:cstheme="minorHAnsi"/>
          <w:color w:val="auto"/>
        </w:rPr>
        <w:t>p</w:t>
      </w:r>
      <w:r w:rsidRPr="0043347C">
        <w:rPr>
          <w:rFonts w:ascii="Aptos" w:hAnsi="Aptos" w:cstheme="minorHAnsi"/>
          <w:color w:val="auto"/>
        </w:rPr>
        <w:t>rocurement on the same or alternative basis</w:t>
      </w:r>
    </w:p>
    <w:p w14:paraId="73236619" w14:textId="7995B0FC" w:rsidR="00710321" w:rsidRPr="0043347C" w:rsidRDefault="00710321" w:rsidP="0043347C">
      <w:pPr>
        <w:pStyle w:val="BodyText1"/>
        <w:numPr>
          <w:ilvl w:val="0"/>
          <w:numId w:val="70"/>
        </w:numPr>
        <w:tabs>
          <w:tab w:val="left" w:pos="1530"/>
        </w:tabs>
        <w:ind w:left="1440" w:hanging="450"/>
        <w:rPr>
          <w:rFonts w:ascii="Aptos" w:hAnsi="Aptos" w:cstheme="minorHAnsi"/>
          <w:color w:val="auto"/>
        </w:rPr>
      </w:pPr>
      <w:r w:rsidRPr="0043347C">
        <w:rPr>
          <w:rFonts w:ascii="Aptos" w:hAnsi="Aptos" w:cstheme="minorHAnsi"/>
          <w:color w:val="auto"/>
        </w:rPr>
        <w:t xml:space="preserve">to amend the </w:t>
      </w:r>
      <w:r w:rsidR="00BF626D" w:rsidRPr="0043347C">
        <w:rPr>
          <w:rFonts w:ascii="Aptos" w:hAnsi="Aptos" w:cstheme="minorHAnsi"/>
          <w:color w:val="auto"/>
        </w:rPr>
        <w:t>p</w:t>
      </w:r>
      <w:r w:rsidRPr="0043347C">
        <w:rPr>
          <w:rFonts w:ascii="Aptos" w:hAnsi="Aptos" w:cstheme="minorHAnsi"/>
          <w:color w:val="auto"/>
        </w:rPr>
        <w:t xml:space="preserve">rocurement as described herein, including the number of stages and the number of </w:t>
      </w:r>
      <w:r w:rsidR="00BF626D" w:rsidRPr="0043347C">
        <w:rPr>
          <w:rFonts w:ascii="Aptos" w:hAnsi="Aptos" w:cstheme="minorHAnsi"/>
          <w:color w:val="auto"/>
        </w:rPr>
        <w:t>Tenderers</w:t>
      </w:r>
      <w:r w:rsidRPr="0043347C">
        <w:rPr>
          <w:rFonts w:ascii="Aptos" w:hAnsi="Aptos" w:cstheme="minorHAnsi"/>
          <w:color w:val="auto"/>
        </w:rPr>
        <w:t xml:space="preserve"> to be selected at any stage</w:t>
      </w:r>
      <w:r w:rsidR="00934B53" w:rsidRPr="0043347C">
        <w:rPr>
          <w:rFonts w:ascii="Aptos" w:hAnsi="Aptos" w:cstheme="minorHAnsi"/>
          <w:color w:val="auto"/>
        </w:rPr>
        <w:t>.</w:t>
      </w:r>
    </w:p>
    <w:p w14:paraId="081EC71F" w14:textId="56FEA20F" w:rsidR="00353561" w:rsidRDefault="00D31B94">
      <w:pPr>
        <w:pStyle w:val="BodyText1"/>
        <w:numPr>
          <w:ilvl w:val="0"/>
          <w:numId w:val="70"/>
        </w:numPr>
        <w:tabs>
          <w:tab w:val="left" w:pos="1530"/>
        </w:tabs>
        <w:ind w:left="1440" w:hanging="450"/>
        <w:rPr>
          <w:rFonts w:ascii="Aptos" w:hAnsi="Aptos" w:cstheme="minorHAnsi"/>
        </w:rPr>
      </w:pPr>
      <w:r w:rsidRPr="0043347C">
        <w:rPr>
          <w:rFonts w:ascii="Aptos" w:hAnsi="Aptos" w:cstheme="minorHAnsi"/>
          <w:color w:val="auto"/>
        </w:rPr>
        <w:t>In accordance with Sections 74 to 77 of the Procurement Act 2023, the Awarding Authority reserves the right to modify the terms of the Light Touch Framework Agreement and any resulting Call-Off Contracts during their term. This includes, but is not limited to, changes in scope, duration, value, or operational provisions, provided such modifications comply with the relevant provisions of the Act.</w:t>
      </w:r>
    </w:p>
    <w:p w14:paraId="56C6FB93" w14:textId="018C8D8B" w:rsidR="0014157D" w:rsidRPr="00353561" w:rsidRDefault="007036E8" w:rsidP="0043347C">
      <w:pPr>
        <w:pStyle w:val="BodyText1"/>
        <w:numPr>
          <w:ilvl w:val="0"/>
          <w:numId w:val="70"/>
        </w:numPr>
        <w:tabs>
          <w:tab w:val="left" w:pos="1530"/>
        </w:tabs>
        <w:ind w:left="1440" w:hanging="450"/>
        <w:rPr>
          <w:rFonts w:ascii="Aptos" w:hAnsi="Aptos" w:cstheme="minorHAnsi"/>
        </w:rPr>
      </w:pPr>
      <w:r w:rsidRPr="00353561">
        <w:rPr>
          <w:rFonts w:ascii="Aptos" w:hAnsi="Aptos" w:cstheme="minorHAnsi"/>
        </w:rPr>
        <w:t>By participating in this procurement process, Tenderers acknowledge and accept that the Framework Agreement and any Call-Off Contracts may be subject to modification as described above. Continued participation in the Framework shall constitute acceptance of any such modifications.</w:t>
      </w:r>
    </w:p>
    <w:p w14:paraId="3010D275" w14:textId="77777777" w:rsidR="00710321" w:rsidRPr="007617B0" w:rsidRDefault="00710321" w:rsidP="0043347C">
      <w:pPr>
        <w:pStyle w:val="Heading2"/>
        <w:numPr>
          <w:ilvl w:val="0"/>
          <w:numId w:val="51"/>
        </w:numPr>
        <w:rPr>
          <w:rFonts w:ascii="Aptos" w:hAnsi="Aptos" w:cs="Arial"/>
        </w:rPr>
      </w:pPr>
      <w:bookmarkStart w:id="134" w:name="_Toc189059400"/>
      <w:bookmarkStart w:id="135" w:name="_Toc208856240"/>
      <w:bookmarkStart w:id="136" w:name="_Toc208864872"/>
      <w:r w:rsidRPr="007617B0">
        <w:rPr>
          <w:rFonts w:ascii="Aptos" w:hAnsi="Aptos" w:cs="Arial"/>
        </w:rPr>
        <w:lastRenderedPageBreak/>
        <w:t>Confidentiality and publicity</w:t>
      </w:r>
      <w:bookmarkEnd w:id="134"/>
      <w:bookmarkEnd w:id="135"/>
      <w:bookmarkEnd w:id="136"/>
    </w:p>
    <w:p w14:paraId="10669245" w14:textId="3AC1077D" w:rsidR="00710321" w:rsidRPr="007617B0" w:rsidRDefault="00710321" w:rsidP="004347A7">
      <w:pPr>
        <w:pStyle w:val="Parasubclause1"/>
        <w:numPr>
          <w:ilvl w:val="0"/>
          <w:numId w:val="44"/>
        </w:numPr>
        <w:rPr>
          <w:rFonts w:ascii="Aptos" w:hAnsi="Aptos"/>
        </w:rPr>
      </w:pPr>
      <w:r w:rsidRPr="007617B0">
        <w:rPr>
          <w:rFonts w:ascii="Aptos" w:hAnsi="Aptos"/>
        </w:rPr>
        <w:t xml:space="preserve">Save to the extent made publicly available by </w:t>
      </w:r>
      <w:r w:rsidR="00BF626D" w:rsidRPr="007617B0">
        <w:rPr>
          <w:rFonts w:ascii="Aptos" w:hAnsi="Aptos"/>
        </w:rPr>
        <w:t>OAT</w:t>
      </w:r>
      <w:r w:rsidRPr="007617B0">
        <w:rPr>
          <w:rFonts w:ascii="Aptos" w:hAnsi="Aptos"/>
        </w:rPr>
        <w:t xml:space="preserve">, the information in this document (together with all attachments and any other information communicated to </w:t>
      </w:r>
      <w:r w:rsidR="00BF626D" w:rsidRPr="007617B0">
        <w:rPr>
          <w:rFonts w:ascii="Aptos" w:hAnsi="Aptos"/>
        </w:rPr>
        <w:t xml:space="preserve">Tenderers </w:t>
      </w:r>
      <w:r w:rsidRPr="007617B0">
        <w:rPr>
          <w:rFonts w:ascii="Aptos" w:hAnsi="Aptos"/>
        </w:rPr>
        <w:t xml:space="preserve">during the </w:t>
      </w:r>
      <w:r w:rsidR="00BF626D" w:rsidRPr="007617B0">
        <w:rPr>
          <w:rFonts w:ascii="Aptos" w:hAnsi="Aptos"/>
        </w:rPr>
        <w:t>p</w:t>
      </w:r>
      <w:r w:rsidRPr="007617B0">
        <w:rPr>
          <w:rFonts w:ascii="Aptos" w:hAnsi="Aptos"/>
        </w:rPr>
        <w:t xml:space="preserve">rocurement) is made available on the condition that it is treated as confidential information by </w:t>
      </w:r>
      <w:r w:rsidR="00BF626D" w:rsidRPr="007617B0">
        <w:rPr>
          <w:rFonts w:ascii="Aptos" w:hAnsi="Aptos"/>
        </w:rPr>
        <w:t>the Tenderer</w:t>
      </w:r>
      <w:r w:rsidRPr="007617B0">
        <w:rPr>
          <w:rFonts w:ascii="Aptos" w:hAnsi="Aptos"/>
        </w:rPr>
        <w:t xml:space="preserve"> and is not disclosed, copied, reproduced, distributed or passed to any other person at any time except in order to comply with legal obligations or for the purpose of enabling a submission to be made to </w:t>
      </w:r>
      <w:r w:rsidR="00BF626D" w:rsidRPr="007617B0">
        <w:rPr>
          <w:rFonts w:ascii="Aptos" w:hAnsi="Aptos"/>
        </w:rPr>
        <w:t>OAT</w:t>
      </w:r>
      <w:r w:rsidRPr="007617B0">
        <w:rPr>
          <w:rFonts w:ascii="Aptos" w:hAnsi="Aptos"/>
        </w:rPr>
        <w:t xml:space="preserve">, provided that such person has given an undertaking prior to the receipt of the relevant information (and for the benefit of </w:t>
      </w:r>
      <w:r w:rsidR="00BF626D" w:rsidRPr="007617B0">
        <w:rPr>
          <w:rFonts w:ascii="Aptos" w:hAnsi="Aptos"/>
        </w:rPr>
        <w:t>OAT</w:t>
      </w:r>
      <w:r w:rsidRPr="007617B0">
        <w:rPr>
          <w:rFonts w:ascii="Aptos" w:hAnsi="Aptos"/>
        </w:rPr>
        <w:t>) to keep such information confidential.</w:t>
      </w:r>
    </w:p>
    <w:p w14:paraId="4A062AA5" w14:textId="5F1EE4A8" w:rsidR="00710321" w:rsidRPr="007617B0" w:rsidRDefault="00BF626D" w:rsidP="004347A7">
      <w:pPr>
        <w:pStyle w:val="Parasubclause1"/>
        <w:numPr>
          <w:ilvl w:val="0"/>
          <w:numId w:val="44"/>
        </w:numPr>
        <w:rPr>
          <w:rFonts w:ascii="Aptos" w:hAnsi="Aptos"/>
        </w:rPr>
      </w:pPr>
      <w:r w:rsidRPr="007617B0">
        <w:rPr>
          <w:rFonts w:ascii="Aptos" w:hAnsi="Aptos"/>
        </w:rPr>
        <w:t xml:space="preserve">Tenderers </w:t>
      </w:r>
      <w:r w:rsidR="00710321" w:rsidRPr="007617B0">
        <w:rPr>
          <w:rFonts w:ascii="Aptos" w:hAnsi="Aptos"/>
        </w:rPr>
        <w:t xml:space="preserve">must not take part in any publicity activities with any part of the media about this </w:t>
      </w:r>
      <w:r w:rsidRPr="007617B0">
        <w:rPr>
          <w:rFonts w:ascii="Aptos" w:hAnsi="Aptos"/>
        </w:rPr>
        <w:t>p</w:t>
      </w:r>
      <w:r w:rsidR="00710321" w:rsidRPr="007617B0">
        <w:rPr>
          <w:rFonts w:ascii="Aptos" w:hAnsi="Aptos"/>
        </w:rPr>
        <w:t xml:space="preserve">rocurement without obtaining the express prior written agreement of </w:t>
      </w:r>
      <w:r w:rsidRPr="007617B0">
        <w:rPr>
          <w:rFonts w:ascii="Aptos" w:hAnsi="Aptos"/>
        </w:rPr>
        <w:t>OAT</w:t>
      </w:r>
      <w:r w:rsidR="00710321" w:rsidRPr="007617B0">
        <w:rPr>
          <w:rFonts w:ascii="Aptos" w:hAnsi="Aptos"/>
        </w:rPr>
        <w:t xml:space="preserve">. When requesting prior written agreement, </w:t>
      </w:r>
      <w:r w:rsidRPr="007617B0">
        <w:rPr>
          <w:rFonts w:ascii="Aptos" w:hAnsi="Aptos"/>
        </w:rPr>
        <w:t xml:space="preserve">Tenderers </w:t>
      </w:r>
      <w:r w:rsidR="00710321" w:rsidRPr="007617B0">
        <w:rPr>
          <w:rFonts w:ascii="Aptos" w:hAnsi="Aptos"/>
        </w:rPr>
        <w:t>are required to detail the proposed media coverage including format and content of any publicity.</w:t>
      </w:r>
    </w:p>
    <w:p w14:paraId="10C2DBE3" w14:textId="77777777" w:rsidR="00710321" w:rsidRPr="007617B0" w:rsidRDefault="00710321" w:rsidP="0043347C">
      <w:pPr>
        <w:pStyle w:val="Heading2"/>
        <w:numPr>
          <w:ilvl w:val="0"/>
          <w:numId w:val="51"/>
        </w:numPr>
        <w:rPr>
          <w:rFonts w:ascii="Aptos" w:hAnsi="Aptos" w:cs="Arial"/>
        </w:rPr>
      </w:pPr>
      <w:bookmarkStart w:id="137" w:name="_Toc189059401"/>
      <w:bookmarkStart w:id="138" w:name="_Toc208856241"/>
      <w:bookmarkStart w:id="139" w:name="_Toc208864873"/>
      <w:r w:rsidRPr="007617B0">
        <w:rPr>
          <w:rFonts w:ascii="Aptos" w:hAnsi="Aptos" w:cs="Arial"/>
        </w:rPr>
        <w:t>Requirements on sub-contractors and consortium</w:t>
      </w:r>
      <w:bookmarkEnd w:id="137"/>
      <w:bookmarkEnd w:id="138"/>
      <w:bookmarkEnd w:id="139"/>
    </w:p>
    <w:p w14:paraId="1E7A4345" w14:textId="354D5086" w:rsidR="00710321" w:rsidRPr="007617B0" w:rsidRDefault="00710321" w:rsidP="004347A7">
      <w:pPr>
        <w:pStyle w:val="Parasubclause1"/>
        <w:numPr>
          <w:ilvl w:val="0"/>
          <w:numId w:val="44"/>
        </w:numPr>
        <w:rPr>
          <w:rFonts w:ascii="Aptos" w:hAnsi="Aptos"/>
        </w:rPr>
      </w:pPr>
      <w:r w:rsidRPr="007617B0">
        <w:rPr>
          <w:rFonts w:ascii="Aptos" w:hAnsi="Aptos"/>
        </w:rPr>
        <w:t xml:space="preserve">If requested to do so by </w:t>
      </w:r>
      <w:r w:rsidR="00BF626D" w:rsidRPr="007617B0">
        <w:rPr>
          <w:rFonts w:ascii="Aptos" w:hAnsi="Aptos"/>
        </w:rPr>
        <w:t>OAT</w:t>
      </w:r>
      <w:r w:rsidRPr="007617B0">
        <w:rPr>
          <w:rFonts w:ascii="Aptos" w:hAnsi="Aptos"/>
        </w:rPr>
        <w:t xml:space="preserve"> a </w:t>
      </w:r>
      <w:r w:rsidR="00BF626D" w:rsidRPr="007617B0">
        <w:rPr>
          <w:rFonts w:ascii="Aptos" w:hAnsi="Aptos"/>
        </w:rPr>
        <w:t xml:space="preserve">Tenderer </w:t>
      </w:r>
      <w:r w:rsidRPr="007617B0">
        <w:rPr>
          <w:rFonts w:ascii="Aptos" w:hAnsi="Aptos"/>
        </w:rPr>
        <w:t xml:space="preserve">will be required to </w:t>
      </w:r>
      <w:proofErr w:type="gramStart"/>
      <w:r w:rsidRPr="007617B0">
        <w:rPr>
          <w:rFonts w:ascii="Aptos" w:hAnsi="Aptos"/>
        </w:rPr>
        <w:t>enter into</w:t>
      </w:r>
      <w:proofErr w:type="gramEnd"/>
      <w:r w:rsidRPr="007617B0">
        <w:rPr>
          <w:rFonts w:ascii="Aptos" w:hAnsi="Aptos"/>
        </w:rPr>
        <w:t xml:space="preserve"> a legal arrangement with other members of a consortium or with any parties which are relied on in order to satisfy the conditions </w:t>
      </w:r>
      <w:r w:rsidRPr="007617B0">
        <w:rPr>
          <w:rFonts w:ascii="Aptos" w:hAnsi="Aptos"/>
          <w:sz w:val="18"/>
          <w:szCs w:val="18"/>
        </w:rPr>
        <w:t>of</w:t>
      </w:r>
      <w:r w:rsidRPr="007617B0">
        <w:rPr>
          <w:rFonts w:ascii="Aptos" w:hAnsi="Aptos"/>
        </w:rPr>
        <w:t xml:space="preserve"> participation relating to this </w:t>
      </w:r>
      <w:r w:rsidR="005A4413" w:rsidRPr="007617B0">
        <w:rPr>
          <w:rFonts w:ascii="Aptos" w:hAnsi="Aptos"/>
        </w:rPr>
        <w:t>p</w:t>
      </w:r>
      <w:r w:rsidRPr="007617B0">
        <w:rPr>
          <w:rFonts w:ascii="Aptos" w:hAnsi="Aptos"/>
        </w:rPr>
        <w:t xml:space="preserve">rocurement (in accordance with section 72 of the Act). Acceptance of this request shall be considered a mandatory requirement and failure to accept the same may result in </w:t>
      </w:r>
      <w:r w:rsidR="000D5F73" w:rsidRPr="007617B0">
        <w:rPr>
          <w:rFonts w:ascii="Aptos" w:hAnsi="Aptos"/>
        </w:rPr>
        <w:t>the Tenderer’s</w:t>
      </w:r>
      <w:r w:rsidRPr="007617B0">
        <w:rPr>
          <w:rFonts w:ascii="Aptos" w:hAnsi="Aptos"/>
        </w:rPr>
        <w:t xml:space="preserve"> exclusion from the </w:t>
      </w:r>
      <w:r w:rsidR="000D5F73" w:rsidRPr="007617B0">
        <w:rPr>
          <w:rFonts w:ascii="Aptos" w:hAnsi="Aptos"/>
        </w:rPr>
        <w:t>p</w:t>
      </w:r>
      <w:r w:rsidRPr="007617B0">
        <w:rPr>
          <w:rFonts w:ascii="Aptos" w:hAnsi="Aptos"/>
        </w:rPr>
        <w:t>rocurement.</w:t>
      </w:r>
    </w:p>
    <w:p w14:paraId="6DE3CFB3" w14:textId="77777777" w:rsidR="00710321" w:rsidRPr="007617B0" w:rsidRDefault="00710321" w:rsidP="0043347C">
      <w:pPr>
        <w:pStyle w:val="Heading2"/>
        <w:numPr>
          <w:ilvl w:val="0"/>
          <w:numId w:val="51"/>
        </w:numPr>
        <w:rPr>
          <w:rFonts w:ascii="Aptos" w:hAnsi="Aptos" w:cs="Arial"/>
        </w:rPr>
      </w:pPr>
      <w:bookmarkStart w:id="140" w:name="_Toc189059403"/>
      <w:bookmarkStart w:id="141" w:name="_Toc208856242"/>
      <w:bookmarkStart w:id="142" w:name="_Toc208864874"/>
      <w:r w:rsidRPr="007617B0">
        <w:rPr>
          <w:rFonts w:ascii="Aptos" w:hAnsi="Aptos" w:cs="Arial"/>
        </w:rPr>
        <w:t>Non-collusion, non-canvassing</w:t>
      </w:r>
      <w:bookmarkEnd w:id="140"/>
      <w:bookmarkEnd w:id="141"/>
      <w:bookmarkEnd w:id="142"/>
    </w:p>
    <w:p w14:paraId="57A3FE36" w14:textId="7842F992" w:rsidR="00710321" w:rsidRPr="007617B0" w:rsidRDefault="00710321" w:rsidP="004347A7">
      <w:pPr>
        <w:pStyle w:val="Parasubclause1"/>
        <w:numPr>
          <w:ilvl w:val="0"/>
          <w:numId w:val="44"/>
        </w:numPr>
        <w:rPr>
          <w:rFonts w:ascii="Aptos" w:hAnsi="Aptos"/>
        </w:rPr>
      </w:pPr>
      <w:bookmarkStart w:id="143" w:name="_Hlk192655699"/>
      <w:r w:rsidRPr="007617B0">
        <w:rPr>
          <w:rFonts w:ascii="Aptos" w:hAnsi="Aptos"/>
        </w:rPr>
        <w:t xml:space="preserve">Any attempt by </w:t>
      </w:r>
      <w:r w:rsidR="000D5F73" w:rsidRPr="007617B0">
        <w:rPr>
          <w:rFonts w:ascii="Aptos" w:hAnsi="Aptos"/>
        </w:rPr>
        <w:t>a Tenderer</w:t>
      </w:r>
      <w:r w:rsidRPr="007617B0">
        <w:rPr>
          <w:rFonts w:ascii="Aptos" w:hAnsi="Aptos"/>
        </w:rPr>
        <w:t xml:space="preserve"> or their advisers to influence the </w:t>
      </w:r>
      <w:r w:rsidR="005A4413" w:rsidRPr="007617B0">
        <w:rPr>
          <w:rFonts w:ascii="Aptos" w:hAnsi="Aptos"/>
        </w:rPr>
        <w:t>p</w:t>
      </w:r>
      <w:r w:rsidRPr="007617B0">
        <w:rPr>
          <w:rFonts w:ascii="Aptos" w:hAnsi="Aptos"/>
        </w:rPr>
        <w:t xml:space="preserve">rocurement in any way may result in the exclusion of </w:t>
      </w:r>
      <w:r w:rsidR="000D5F73" w:rsidRPr="007617B0">
        <w:rPr>
          <w:rFonts w:ascii="Aptos" w:hAnsi="Aptos"/>
        </w:rPr>
        <w:t>the Tenderer</w:t>
      </w:r>
      <w:r w:rsidRPr="007617B0">
        <w:rPr>
          <w:rFonts w:ascii="Aptos" w:hAnsi="Aptos"/>
        </w:rPr>
        <w:t xml:space="preserve">, without prejudice to any other civil or legal remedies available to </w:t>
      </w:r>
      <w:r w:rsidR="000D5F73" w:rsidRPr="007617B0">
        <w:rPr>
          <w:rFonts w:ascii="Aptos" w:hAnsi="Aptos"/>
        </w:rPr>
        <w:t>OAT</w:t>
      </w:r>
      <w:r w:rsidRPr="007617B0">
        <w:rPr>
          <w:rFonts w:ascii="Aptos" w:hAnsi="Aptos"/>
        </w:rPr>
        <w:t xml:space="preserve"> and without prejudice to any criminal liability that such conduct by </w:t>
      </w:r>
      <w:r w:rsidR="000D5F73" w:rsidRPr="007617B0">
        <w:rPr>
          <w:rFonts w:ascii="Aptos" w:hAnsi="Aptos"/>
        </w:rPr>
        <w:t>a Tenderer</w:t>
      </w:r>
      <w:r w:rsidRPr="007617B0">
        <w:rPr>
          <w:rFonts w:ascii="Aptos" w:hAnsi="Aptos"/>
        </w:rPr>
        <w:t xml:space="preserve"> may attract.</w:t>
      </w:r>
    </w:p>
    <w:p w14:paraId="495C44F1" w14:textId="58549E8F" w:rsidR="00710321" w:rsidRPr="007617B0" w:rsidRDefault="00710321" w:rsidP="0043347C">
      <w:pPr>
        <w:pStyle w:val="BodyText1"/>
        <w:numPr>
          <w:ilvl w:val="0"/>
          <w:numId w:val="43"/>
        </w:numPr>
        <w:ind w:left="1440"/>
        <w:rPr>
          <w:rFonts w:ascii="Aptos" w:hAnsi="Aptos" w:cstheme="minorHAnsi"/>
        </w:rPr>
      </w:pPr>
      <w:r w:rsidRPr="007617B0">
        <w:rPr>
          <w:rFonts w:ascii="Aptos" w:hAnsi="Aptos" w:cstheme="minorHAnsi"/>
        </w:rPr>
        <w:t xml:space="preserve">Specifically, </w:t>
      </w:r>
      <w:r w:rsidR="000D5F73" w:rsidRPr="007617B0">
        <w:rPr>
          <w:rFonts w:ascii="Aptos" w:hAnsi="Aptos" w:cstheme="minorHAnsi"/>
        </w:rPr>
        <w:t xml:space="preserve">Tenderers </w:t>
      </w:r>
      <w:r w:rsidRPr="007617B0">
        <w:rPr>
          <w:rFonts w:ascii="Aptos" w:hAnsi="Aptos" w:cstheme="minorHAnsi"/>
        </w:rPr>
        <w:t>must not directly or indirectly at any time:</w:t>
      </w:r>
    </w:p>
    <w:p w14:paraId="73CDBDE5" w14:textId="77777777" w:rsidR="00710321" w:rsidRPr="007617B0" w:rsidRDefault="00710321" w:rsidP="00C20E55">
      <w:pPr>
        <w:pStyle w:val="Parasubclause1"/>
        <w:ind w:left="2160" w:hanging="720"/>
        <w:rPr>
          <w:rFonts w:ascii="Aptos" w:hAnsi="Aptos"/>
        </w:rPr>
      </w:pPr>
      <w:r w:rsidRPr="007617B0">
        <w:rPr>
          <w:rFonts w:ascii="Aptos" w:hAnsi="Aptos"/>
        </w:rPr>
        <w:t>a.</w:t>
      </w:r>
      <w:r w:rsidRPr="007617B0">
        <w:rPr>
          <w:rFonts w:ascii="Aptos" w:hAnsi="Aptos"/>
        </w:rPr>
        <w:tab/>
        <w:t>devise or amend the content of their submissions in accordance with any agreement or arrangement with any other person, other than in good faith with a person who is a proposed partner, subcontractor, consortium member insurance provider or provider of finance</w:t>
      </w:r>
    </w:p>
    <w:p w14:paraId="36FAED0F" w14:textId="77777777" w:rsidR="00710321" w:rsidRPr="007617B0" w:rsidRDefault="00710321" w:rsidP="00C20E55">
      <w:pPr>
        <w:pStyle w:val="Parasubclause1"/>
        <w:ind w:left="2160" w:hanging="720"/>
        <w:rPr>
          <w:rFonts w:ascii="Aptos" w:hAnsi="Aptos"/>
        </w:rPr>
      </w:pPr>
      <w:r w:rsidRPr="007617B0">
        <w:rPr>
          <w:rFonts w:ascii="Aptos" w:hAnsi="Aptos"/>
        </w:rPr>
        <w:t>b.</w:t>
      </w:r>
      <w:r w:rsidRPr="007617B0">
        <w:rPr>
          <w:rFonts w:ascii="Aptos" w:hAnsi="Aptos"/>
        </w:rPr>
        <w:tab/>
      </w:r>
      <w:proofErr w:type="gramStart"/>
      <w:r w:rsidRPr="007617B0">
        <w:rPr>
          <w:rFonts w:ascii="Aptos" w:hAnsi="Aptos"/>
        </w:rPr>
        <w:t>enter</w:t>
      </w:r>
      <w:proofErr w:type="gramEnd"/>
      <w:r w:rsidRPr="007617B0">
        <w:rPr>
          <w:rFonts w:ascii="Aptos" w:hAnsi="Aptos"/>
        </w:rPr>
        <w:t xml:space="preserve"> into any agreement or arrangement with any other person as to the form or content of any other submission or offer to pay any sum of money or valuable consideration to any person to effect changes to the form or content of any other submission</w:t>
      </w:r>
    </w:p>
    <w:p w14:paraId="53651D75" w14:textId="749297AA" w:rsidR="00710321" w:rsidRPr="007617B0" w:rsidRDefault="00710321" w:rsidP="00C20E55">
      <w:pPr>
        <w:pStyle w:val="Parasubclause1"/>
        <w:ind w:left="2160" w:hanging="720"/>
        <w:rPr>
          <w:rFonts w:ascii="Aptos" w:hAnsi="Aptos"/>
        </w:rPr>
      </w:pPr>
      <w:r w:rsidRPr="007617B0">
        <w:rPr>
          <w:rFonts w:ascii="Aptos" w:hAnsi="Aptos"/>
        </w:rPr>
        <w:lastRenderedPageBreak/>
        <w:t>c.</w:t>
      </w:r>
      <w:r w:rsidRPr="007617B0">
        <w:rPr>
          <w:rFonts w:ascii="Aptos" w:hAnsi="Aptos"/>
        </w:rPr>
        <w:tab/>
      </w:r>
      <w:proofErr w:type="gramStart"/>
      <w:r w:rsidRPr="007617B0">
        <w:rPr>
          <w:rFonts w:ascii="Aptos" w:hAnsi="Aptos"/>
        </w:rPr>
        <w:t>enter</w:t>
      </w:r>
      <w:proofErr w:type="gramEnd"/>
      <w:r w:rsidRPr="007617B0">
        <w:rPr>
          <w:rFonts w:ascii="Aptos" w:hAnsi="Aptos"/>
        </w:rPr>
        <w:t xml:space="preserve"> into any agreement or arrangement with any other person that has the effect of prohibiting or excluding that person from submitting a response in this </w:t>
      </w:r>
      <w:r w:rsidR="000D5F73" w:rsidRPr="007617B0">
        <w:rPr>
          <w:rFonts w:ascii="Aptos" w:hAnsi="Aptos"/>
        </w:rPr>
        <w:t>p</w:t>
      </w:r>
      <w:r w:rsidRPr="007617B0">
        <w:rPr>
          <w:rFonts w:ascii="Aptos" w:hAnsi="Aptos"/>
        </w:rPr>
        <w:t>rocurement</w:t>
      </w:r>
    </w:p>
    <w:p w14:paraId="6927F681" w14:textId="13CFBFEB" w:rsidR="00710321" w:rsidRPr="007617B0" w:rsidRDefault="00710321" w:rsidP="00C20E55">
      <w:pPr>
        <w:pStyle w:val="Parasubclause1"/>
        <w:ind w:left="2160" w:hanging="720"/>
        <w:rPr>
          <w:rFonts w:ascii="Aptos" w:hAnsi="Aptos"/>
        </w:rPr>
      </w:pPr>
      <w:r w:rsidRPr="007617B0">
        <w:rPr>
          <w:rFonts w:ascii="Aptos" w:hAnsi="Aptos"/>
        </w:rPr>
        <w:t>d.</w:t>
      </w:r>
      <w:r w:rsidRPr="007617B0">
        <w:rPr>
          <w:rFonts w:ascii="Aptos" w:hAnsi="Aptos"/>
        </w:rPr>
        <w:tab/>
      </w:r>
      <w:proofErr w:type="gramStart"/>
      <w:r w:rsidRPr="007617B0">
        <w:rPr>
          <w:rFonts w:ascii="Aptos" w:hAnsi="Aptos"/>
        </w:rPr>
        <w:t>canvass</w:t>
      </w:r>
      <w:proofErr w:type="gramEnd"/>
      <w:r w:rsidRPr="007617B0">
        <w:rPr>
          <w:rFonts w:ascii="Aptos" w:hAnsi="Aptos"/>
        </w:rPr>
        <w:t xml:space="preserve"> any employees, members or agents of </w:t>
      </w:r>
      <w:r w:rsidR="000D5F73" w:rsidRPr="007617B0">
        <w:rPr>
          <w:rFonts w:ascii="Aptos" w:hAnsi="Aptos"/>
        </w:rPr>
        <w:t>OAT</w:t>
      </w:r>
      <w:r w:rsidRPr="007617B0">
        <w:rPr>
          <w:rFonts w:ascii="Aptos" w:hAnsi="Aptos"/>
        </w:rPr>
        <w:t xml:space="preserve"> in relation to this </w:t>
      </w:r>
      <w:r w:rsidR="000D5F73" w:rsidRPr="007617B0">
        <w:rPr>
          <w:rFonts w:ascii="Aptos" w:hAnsi="Aptos"/>
        </w:rPr>
        <w:t>p</w:t>
      </w:r>
      <w:r w:rsidRPr="007617B0">
        <w:rPr>
          <w:rFonts w:ascii="Aptos" w:hAnsi="Aptos"/>
        </w:rPr>
        <w:t>rocurement</w:t>
      </w:r>
    </w:p>
    <w:p w14:paraId="3D28AD5F" w14:textId="69BA584F" w:rsidR="00710321" w:rsidRPr="007617B0" w:rsidRDefault="00710321" w:rsidP="00C20E55">
      <w:pPr>
        <w:pStyle w:val="Parasubclause1"/>
        <w:ind w:left="2160" w:hanging="720"/>
        <w:rPr>
          <w:rFonts w:ascii="Aptos" w:hAnsi="Aptos"/>
        </w:rPr>
      </w:pPr>
      <w:r w:rsidRPr="007617B0">
        <w:rPr>
          <w:rFonts w:ascii="Aptos" w:hAnsi="Aptos"/>
        </w:rPr>
        <w:t>e.</w:t>
      </w:r>
      <w:r w:rsidRPr="007617B0">
        <w:rPr>
          <w:rFonts w:ascii="Aptos" w:hAnsi="Aptos"/>
        </w:rPr>
        <w:tab/>
      </w:r>
      <w:proofErr w:type="gramStart"/>
      <w:r w:rsidRPr="007617B0">
        <w:rPr>
          <w:rFonts w:ascii="Aptos" w:hAnsi="Aptos"/>
        </w:rPr>
        <w:t>attempt</w:t>
      </w:r>
      <w:proofErr w:type="gramEnd"/>
      <w:r w:rsidRPr="007617B0">
        <w:rPr>
          <w:rFonts w:ascii="Aptos" w:hAnsi="Aptos"/>
        </w:rPr>
        <w:t xml:space="preserve"> to obtain information from any of the employees, members or agents of </w:t>
      </w:r>
      <w:r w:rsidR="000D5F73" w:rsidRPr="007617B0">
        <w:rPr>
          <w:rFonts w:ascii="Aptos" w:hAnsi="Aptos"/>
        </w:rPr>
        <w:t>OAT</w:t>
      </w:r>
      <w:r w:rsidRPr="007617B0">
        <w:rPr>
          <w:rFonts w:ascii="Aptos" w:hAnsi="Aptos"/>
        </w:rPr>
        <w:t xml:space="preserve"> or their advisors concerning another </w:t>
      </w:r>
      <w:r w:rsidR="000D5F73" w:rsidRPr="007617B0">
        <w:rPr>
          <w:rFonts w:ascii="Aptos" w:hAnsi="Aptos"/>
        </w:rPr>
        <w:t xml:space="preserve">Tenderer </w:t>
      </w:r>
      <w:r w:rsidRPr="007617B0">
        <w:rPr>
          <w:rFonts w:ascii="Aptos" w:hAnsi="Aptos"/>
        </w:rPr>
        <w:t>or submission</w:t>
      </w:r>
    </w:p>
    <w:p w14:paraId="5C8FEEAD" w14:textId="571E060B" w:rsidR="00710321" w:rsidRPr="007617B0" w:rsidRDefault="00710321" w:rsidP="00C20E55">
      <w:pPr>
        <w:pStyle w:val="Parasubclause1"/>
        <w:ind w:left="2160" w:hanging="720"/>
        <w:rPr>
          <w:rFonts w:ascii="Aptos" w:hAnsi="Aptos"/>
          <w:color w:val="auto"/>
        </w:rPr>
      </w:pPr>
      <w:r w:rsidRPr="007617B0">
        <w:rPr>
          <w:rFonts w:ascii="Aptos" w:hAnsi="Aptos"/>
        </w:rPr>
        <w:t>f.</w:t>
      </w:r>
      <w:r w:rsidRPr="007617B0">
        <w:rPr>
          <w:rFonts w:ascii="Aptos" w:hAnsi="Aptos"/>
        </w:rPr>
        <w:tab/>
      </w:r>
      <w:proofErr w:type="gramStart"/>
      <w:r w:rsidRPr="007617B0">
        <w:rPr>
          <w:rFonts w:ascii="Aptos" w:hAnsi="Aptos"/>
        </w:rPr>
        <w:t>carry</w:t>
      </w:r>
      <w:proofErr w:type="gramEnd"/>
      <w:r w:rsidRPr="007617B0">
        <w:rPr>
          <w:rFonts w:ascii="Aptos" w:hAnsi="Aptos"/>
        </w:rPr>
        <w:t xml:space="preserve"> out any other co</w:t>
      </w:r>
      <w:r w:rsidRPr="007617B0">
        <w:rPr>
          <w:rFonts w:ascii="Aptos" w:hAnsi="Aptos"/>
          <w:color w:val="auto"/>
        </w:rPr>
        <w:t xml:space="preserve">-operation or collusion with another </w:t>
      </w:r>
      <w:r w:rsidR="00EC6226" w:rsidRPr="007617B0">
        <w:rPr>
          <w:rFonts w:ascii="Aptos" w:hAnsi="Aptos"/>
          <w:color w:val="auto"/>
        </w:rPr>
        <w:t>Tenderer</w:t>
      </w:r>
      <w:r w:rsidRPr="007617B0">
        <w:rPr>
          <w:rFonts w:ascii="Aptos" w:hAnsi="Aptos"/>
          <w:color w:val="auto"/>
        </w:rPr>
        <w:t xml:space="preserve"> or any other person which </w:t>
      </w:r>
      <w:r w:rsidR="000D5F73" w:rsidRPr="007617B0">
        <w:rPr>
          <w:rFonts w:ascii="Aptos" w:hAnsi="Aptos"/>
          <w:color w:val="auto"/>
        </w:rPr>
        <w:t>OAT</w:t>
      </w:r>
      <w:r w:rsidRPr="007617B0">
        <w:rPr>
          <w:rFonts w:ascii="Aptos" w:hAnsi="Aptos"/>
          <w:color w:val="auto"/>
        </w:rPr>
        <w:t xml:space="preserve"> considers capable of undermining fair competition</w:t>
      </w:r>
    </w:p>
    <w:p w14:paraId="18C44289" w14:textId="79AF3DB9" w:rsidR="00710321" w:rsidRPr="007617B0" w:rsidRDefault="00EC6226" w:rsidP="0043347C">
      <w:pPr>
        <w:pStyle w:val="Parasubclause1"/>
        <w:numPr>
          <w:ilvl w:val="0"/>
          <w:numId w:val="43"/>
        </w:numPr>
        <w:ind w:left="1530"/>
        <w:rPr>
          <w:rFonts w:ascii="Aptos" w:hAnsi="Aptos"/>
          <w:color w:val="auto"/>
        </w:rPr>
      </w:pPr>
      <w:r w:rsidRPr="007617B0">
        <w:rPr>
          <w:rFonts w:ascii="Aptos" w:hAnsi="Aptos"/>
          <w:color w:val="auto"/>
        </w:rPr>
        <w:t xml:space="preserve">Tenderers </w:t>
      </w:r>
      <w:r w:rsidR="00710321" w:rsidRPr="007617B0">
        <w:rPr>
          <w:rFonts w:ascii="Aptos" w:hAnsi="Aptos"/>
          <w:color w:val="auto"/>
        </w:rPr>
        <w:t>are required to complete and return</w:t>
      </w:r>
      <w:r w:rsidR="009376BB">
        <w:rPr>
          <w:rFonts w:ascii="Aptos" w:hAnsi="Aptos"/>
          <w:color w:val="auto"/>
        </w:rPr>
        <w:t xml:space="preserve"> the attached</w:t>
      </w:r>
      <w:r w:rsidR="00710321" w:rsidRPr="007617B0">
        <w:rPr>
          <w:rFonts w:ascii="Aptos" w:hAnsi="Aptos"/>
          <w:color w:val="auto"/>
        </w:rPr>
        <w:t xml:space="preserve"> </w:t>
      </w:r>
      <w:r w:rsidR="00710321" w:rsidRPr="007617B0">
        <w:rPr>
          <w:rFonts w:ascii="Aptos" w:hAnsi="Aptos"/>
          <w:b/>
          <w:bCs/>
          <w:color w:val="auto"/>
        </w:rPr>
        <w:t>Schedule 11</w:t>
      </w:r>
      <w:r w:rsidR="00710321" w:rsidRPr="007617B0">
        <w:rPr>
          <w:rFonts w:ascii="Aptos" w:hAnsi="Aptos"/>
          <w:color w:val="auto"/>
        </w:rPr>
        <w:t xml:space="preserve"> (Certificate of non-collusion and non-canvassing) noting that </w:t>
      </w:r>
      <w:r w:rsidR="000D5F73" w:rsidRPr="007617B0">
        <w:rPr>
          <w:rFonts w:ascii="Aptos" w:hAnsi="Aptos"/>
          <w:color w:val="auto"/>
        </w:rPr>
        <w:t>OAT</w:t>
      </w:r>
      <w:r w:rsidR="00710321" w:rsidRPr="007617B0">
        <w:rPr>
          <w:rFonts w:ascii="Aptos" w:hAnsi="Aptos"/>
          <w:color w:val="auto"/>
        </w:rPr>
        <w:t xml:space="preserve"> will be entitled to rely on the information provided in the certificate. </w:t>
      </w:r>
    </w:p>
    <w:p w14:paraId="3C393386" w14:textId="77777777" w:rsidR="00710321" w:rsidRPr="007617B0" w:rsidRDefault="00710321" w:rsidP="0043347C">
      <w:pPr>
        <w:pStyle w:val="Heading2"/>
        <w:numPr>
          <w:ilvl w:val="0"/>
          <w:numId w:val="51"/>
        </w:numPr>
        <w:rPr>
          <w:rFonts w:ascii="Aptos" w:hAnsi="Aptos" w:cs="Arial"/>
        </w:rPr>
      </w:pPr>
      <w:bookmarkStart w:id="144" w:name="_Toc208856243"/>
      <w:bookmarkStart w:id="145" w:name="_Toc208864875"/>
      <w:bookmarkEnd w:id="143"/>
      <w:r w:rsidRPr="007617B0">
        <w:rPr>
          <w:rFonts w:ascii="Aptos" w:hAnsi="Aptos" w:cs="Arial"/>
        </w:rPr>
        <w:t>Conflicts of interest</w:t>
      </w:r>
      <w:bookmarkEnd w:id="144"/>
      <w:bookmarkEnd w:id="145"/>
    </w:p>
    <w:p w14:paraId="797A6688" w14:textId="67D4F2D2" w:rsidR="00710321" w:rsidRPr="007617B0" w:rsidRDefault="00EC6226" w:rsidP="0043347C">
      <w:pPr>
        <w:pStyle w:val="Parasubclause1"/>
        <w:numPr>
          <w:ilvl w:val="0"/>
          <w:numId w:val="43"/>
        </w:numPr>
        <w:tabs>
          <w:tab w:val="left" w:pos="1530"/>
        </w:tabs>
        <w:ind w:left="1530" w:hanging="450"/>
        <w:rPr>
          <w:rFonts w:ascii="Aptos" w:hAnsi="Aptos"/>
        </w:rPr>
      </w:pPr>
      <w:r w:rsidRPr="007617B0">
        <w:rPr>
          <w:rFonts w:ascii="Aptos" w:hAnsi="Aptos"/>
        </w:rPr>
        <w:t>Tenderers</w:t>
      </w:r>
      <w:r w:rsidR="00710321" w:rsidRPr="007617B0">
        <w:rPr>
          <w:rFonts w:ascii="Aptos" w:hAnsi="Aptos"/>
        </w:rPr>
        <w:t xml:space="preserve"> are responsible for ensuring that no actual, potential or perceived conflicts of interest (within the meaning of the Act) exist between themselves and </w:t>
      </w:r>
      <w:r w:rsidR="000D5F73" w:rsidRPr="007617B0">
        <w:rPr>
          <w:rFonts w:ascii="Aptos" w:hAnsi="Aptos"/>
        </w:rPr>
        <w:t>OAT</w:t>
      </w:r>
      <w:r w:rsidR="00710321" w:rsidRPr="007617B0">
        <w:rPr>
          <w:rFonts w:ascii="Aptos" w:hAnsi="Aptos"/>
        </w:rPr>
        <w:t xml:space="preserve"> or its advisers. </w:t>
      </w:r>
      <w:r w:rsidR="00C42C6E" w:rsidRPr="007617B0">
        <w:rPr>
          <w:rFonts w:ascii="Aptos" w:hAnsi="Aptos"/>
        </w:rPr>
        <w:t>Tenderers must</w:t>
      </w:r>
      <w:r w:rsidR="00710321" w:rsidRPr="007617B0">
        <w:rPr>
          <w:rFonts w:ascii="Aptos" w:hAnsi="Aptos"/>
        </w:rPr>
        <w:t xml:space="preserve"> notify </w:t>
      </w:r>
      <w:r w:rsidR="000D5F73" w:rsidRPr="007617B0">
        <w:rPr>
          <w:rFonts w:ascii="Aptos" w:hAnsi="Aptos"/>
        </w:rPr>
        <w:t>OAT</w:t>
      </w:r>
      <w:r w:rsidR="00710321" w:rsidRPr="007617B0">
        <w:rPr>
          <w:rFonts w:ascii="Aptos" w:hAnsi="Aptos"/>
        </w:rPr>
        <w:t xml:space="preserve"> immediately of any actual, potential or perceived conflict of interest. </w:t>
      </w:r>
    </w:p>
    <w:p w14:paraId="67BC5ADA" w14:textId="3534E3B8" w:rsidR="00710321" w:rsidRPr="007617B0" w:rsidRDefault="00710321" w:rsidP="0043347C">
      <w:pPr>
        <w:pStyle w:val="Parasubclause1"/>
        <w:numPr>
          <w:ilvl w:val="0"/>
          <w:numId w:val="43"/>
        </w:numPr>
        <w:ind w:left="1530" w:hanging="450"/>
        <w:rPr>
          <w:rFonts w:ascii="Aptos" w:hAnsi="Aptos"/>
        </w:rPr>
      </w:pPr>
      <w:r w:rsidRPr="007617B0">
        <w:rPr>
          <w:rFonts w:ascii="Aptos" w:hAnsi="Aptos"/>
        </w:rPr>
        <w:t xml:space="preserve">In the event of any actual, potential or perceived conflict of interest, </w:t>
      </w:r>
      <w:r w:rsidR="000D5F73" w:rsidRPr="007617B0">
        <w:rPr>
          <w:rFonts w:ascii="Aptos" w:hAnsi="Aptos"/>
        </w:rPr>
        <w:t>OAT</w:t>
      </w:r>
      <w:r w:rsidRPr="007617B0">
        <w:rPr>
          <w:rFonts w:ascii="Aptos" w:hAnsi="Aptos"/>
        </w:rPr>
        <w:t xml:space="preserve"> shall in its absolute discretion decide on the appropriate course of action. </w:t>
      </w:r>
      <w:r w:rsidR="000D5F73" w:rsidRPr="007617B0">
        <w:rPr>
          <w:rFonts w:ascii="Aptos" w:hAnsi="Aptos"/>
        </w:rPr>
        <w:t>OAT</w:t>
      </w:r>
      <w:r w:rsidRPr="007617B0">
        <w:rPr>
          <w:rFonts w:ascii="Aptos" w:hAnsi="Aptos"/>
        </w:rPr>
        <w:t xml:space="preserve"> reserves the right to:</w:t>
      </w:r>
    </w:p>
    <w:p w14:paraId="3FF64951" w14:textId="27BC4518" w:rsidR="00710321" w:rsidRPr="007617B0" w:rsidRDefault="00710321" w:rsidP="00C20E55">
      <w:pPr>
        <w:pStyle w:val="Parasubclause1"/>
        <w:ind w:left="1440" w:hanging="720"/>
        <w:rPr>
          <w:rFonts w:ascii="Aptos" w:hAnsi="Aptos"/>
        </w:rPr>
      </w:pPr>
      <w:r w:rsidRPr="007617B0">
        <w:rPr>
          <w:rFonts w:ascii="Aptos" w:hAnsi="Aptos"/>
        </w:rPr>
        <w:t>a.</w:t>
      </w:r>
      <w:r w:rsidRPr="007617B0">
        <w:rPr>
          <w:rFonts w:ascii="Aptos" w:hAnsi="Aptos"/>
        </w:rPr>
        <w:tab/>
      </w:r>
      <w:proofErr w:type="gramStart"/>
      <w:r w:rsidRPr="007617B0">
        <w:rPr>
          <w:rFonts w:ascii="Aptos" w:hAnsi="Aptos"/>
        </w:rPr>
        <w:t>exclude</w:t>
      </w:r>
      <w:proofErr w:type="gramEnd"/>
      <w:r w:rsidRPr="007617B0">
        <w:rPr>
          <w:rFonts w:ascii="Aptos" w:hAnsi="Aptos"/>
        </w:rPr>
        <w:t xml:space="preserve"> any </w:t>
      </w:r>
      <w:r w:rsidR="000D5F73" w:rsidRPr="007617B0">
        <w:rPr>
          <w:rFonts w:ascii="Aptos" w:hAnsi="Aptos"/>
        </w:rPr>
        <w:t xml:space="preserve">Tenderer </w:t>
      </w:r>
      <w:r w:rsidRPr="007617B0">
        <w:rPr>
          <w:rFonts w:ascii="Aptos" w:hAnsi="Aptos"/>
        </w:rPr>
        <w:t xml:space="preserve">that fails to notify </w:t>
      </w:r>
      <w:r w:rsidR="000D5F73" w:rsidRPr="007617B0">
        <w:rPr>
          <w:rFonts w:ascii="Aptos" w:hAnsi="Aptos"/>
        </w:rPr>
        <w:t>OAT</w:t>
      </w:r>
      <w:r w:rsidRPr="007617B0">
        <w:rPr>
          <w:rFonts w:ascii="Aptos" w:hAnsi="Aptos"/>
        </w:rPr>
        <w:t xml:space="preserve"> of an actual, potential or perceived conflict of interest, or where an actual conflict of interest exists</w:t>
      </w:r>
    </w:p>
    <w:p w14:paraId="66678662" w14:textId="6FE28CAB" w:rsidR="00710321" w:rsidRPr="007617B0" w:rsidRDefault="00710321" w:rsidP="00C20E55">
      <w:pPr>
        <w:pStyle w:val="Parasubclause1"/>
        <w:ind w:left="1440" w:hanging="720"/>
        <w:rPr>
          <w:rFonts w:ascii="Aptos" w:hAnsi="Aptos"/>
        </w:rPr>
      </w:pPr>
      <w:r w:rsidRPr="007617B0">
        <w:rPr>
          <w:rFonts w:ascii="Aptos" w:hAnsi="Aptos"/>
        </w:rPr>
        <w:t>b.</w:t>
      </w:r>
      <w:r w:rsidRPr="007617B0">
        <w:rPr>
          <w:rFonts w:ascii="Aptos" w:hAnsi="Aptos"/>
        </w:rPr>
        <w:tab/>
      </w:r>
      <w:proofErr w:type="gramStart"/>
      <w:r w:rsidRPr="007617B0">
        <w:rPr>
          <w:rFonts w:ascii="Aptos" w:hAnsi="Aptos"/>
        </w:rPr>
        <w:t>request</w:t>
      </w:r>
      <w:proofErr w:type="gramEnd"/>
      <w:r w:rsidRPr="007617B0">
        <w:rPr>
          <w:rFonts w:ascii="Aptos" w:hAnsi="Aptos"/>
        </w:rPr>
        <w:t xml:space="preserve"> further information from </w:t>
      </w:r>
      <w:r w:rsidR="000D5F73" w:rsidRPr="007617B0">
        <w:rPr>
          <w:rFonts w:ascii="Aptos" w:hAnsi="Aptos"/>
        </w:rPr>
        <w:t>any Tenderer</w:t>
      </w:r>
      <w:r w:rsidRPr="007617B0">
        <w:rPr>
          <w:rFonts w:ascii="Aptos" w:hAnsi="Aptos"/>
        </w:rPr>
        <w:t xml:space="preserve"> and require any </w:t>
      </w:r>
      <w:r w:rsidR="000D5F73" w:rsidRPr="007617B0">
        <w:rPr>
          <w:rFonts w:ascii="Aptos" w:hAnsi="Aptos"/>
        </w:rPr>
        <w:t xml:space="preserve">Tenderer </w:t>
      </w:r>
      <w:r w:rsidRPr="007617B0">
        <w:rPr>
          <w:rFonts w:ascii="Aptos" w:hAnsi="Aptos"/>
        </w:rPr>
        <w:t xml:space="preserve">to take reasonable steps to mitigate a conflict of interest. This may include requiring any </w:t>
      </w:r>
      <w:r w:rsidR="000D5F73" w:rsidRPr="007617B0">
        <w:rPr>
          <w:rFonts w:ascii="Aptos" w:hAnsi="Aptos"/>
        </w:rPr>
        <w:t>Tenderer</w:t>
      </w:r>
      <w:r w:rsidRPr="007617B0">
        <w:rPr>
          <w:rFonts w:ascii="Aptos" w:hAnsi="Aptos"/>
        </w:rPr>
        <w:t xml:space="preserve"> to enter into a specific conflict of interest agreement with </w:t>
      </w:r>
      <w:r w:rsidR="000D5F73" w:rsidRPr="007617B0">
        <w:rPr>
          <w:rFonts w:ascii="Aptos" w:hAnsi="Aptos"/>
        </w:rPr>
        <w:t>OAT</w:t>
      </w:r>
      <w:r w:rsidRPr="007617B0">
        <w:rPr>
          <w:rFonts w:ascii="Aptos" w:hAnsi="Aptos"/>
        </w:rPr>
        <w:t xml:space="preserve">. Failure to do so may result in </w:t>
      </w:r>
      <w:r w:rsidR="000D5F73" w:rsidRPr="007617B0">
        <w:rPr>
          <w:rFonts w:ascii="Aptos" w:hAnsi="Aptos"/>
        </w:rPr>
        <w:t>the Tenderer</w:t>
      </w:r>
      <w:r w:rsidRPr="007617B0">
        <w:rPr>
          <w:rFonts w:ascii="Aptos" w:hAnsi="Aptos"/>
        </w:rPr>
        <w:t xml:space="preserve"> being excluded from participating in, or progressing as part of, the </w:t>
      </w:r>
      <w:r w:rsidR="000D5F73" w:rsidRPr="007617B0">
        <w:rPr>
          <w:rFonts w:ascii="Aptos" w:hAnsi="Aptos"/>
        </w:rPr>
        <w:t>p</w:t>
      </w:r>
      <w:r w:rsidRPr="007617B0">
        <w:rPr>
          <w:rFonts w:ascii="Aptos" w:hAnsi="Aptos"/>
        </w:rPr>
        <w:t xml:space="preserve">rocurement process </w:t>
      </w:r>
    </w:p>
    <w:p w14:paraId="2C9B5543" w14:textId="4CFEC60D" w:rsidR="00710321" w:rsidRPr="007617B0" w:rsidRDefault="000D5F73" w:rsidP="00EF5610">
      <w:pPr>
        <w:pStyle w:val="Parasubclause1"/>
        <w:rPr>
          <w:rFonts w:ascii="Aptos" w:hAnsi="Aptos"/>
        </w:rPr>
      </w:pPr>
      <w:r w:rsidRPr="007617B0">
        <w:rPr>
          <w:rFonts w:ascii="Aptos" w:hAnsi="Aptos"/>
        </w:rPr>
        <w:t>OAT</w:t>
      </w:r>
      <w:r w:rsidR="00710321" w:rsidRPr="007617B0">
        <w:rPr>
          <w:rFonts w:ascii="Aptos" w:hAnsi="Aptos"/>
        </w:rPr>
        <w:t xml:space="preserve"> strongly encourages </w:t>
      </w:r>
      <w:r w:rsidRPr="007617B0">
        <w:rPr>
          <w:rFonts w:ascii="Aptos" w:hAnsi="Aptos"/>
        </w:rPr>
        <w:t>Tenderers</w:t>
      </w:r>
      <w:r w:rsidR="00710321" w:rsidRPr="007617B0">
        <w:rPr>
          <w:rFonts w:ascii="Aptos" w:hAnsi="Aptos"/>
        </w:rPr>
        <w:t xml:space="preserve"> to contact </w:t>
      </w:r>
      <w:r w:rsidRPr="007617B0">
        <w:rPr>
          <w:rFonts w:ascii="Aptos" w:hAnsi="Aptos"/>
        </w:rPr>
        <w:t>OAT</w:t>
      </w:r>
      <w:r w:rsidR="00710321" w:rsidRPr="007617B0">
        <w:rPr>
          <w:rFonts w:ascii="Aptos" w:hAnsi="Aptos"/>
        </w:rPr>
        <w:t xml:space="preserve"> as soon as possible using the Portal should it have any concerns regarding actual, potential or perceived conflicts of interest. </w:t>
      </w:r>
    </w:p>
    <w:p w14:paraId="119865ED" w14:textId="377D6333" w:rsidR="00945546" w:rsidRPr="007617B0" w:rsidRDefault="00945546" w:rsidP="00945546">
      <w:pPr>
        <w:pStyle w:val="Parasubclause1"/>
        <w:rPr>
          <w:rFonts w:ascii="Aptos" w:hAnsi="Aptos" w:cstheme="minorHAnsi"/>
        </w:rPr>
      </w:pPr>
      <w:r w:rsidRPr="007617B0">
        <w:rPr>
          <w:rFonts w:ascii="Aptos" w:hAnsi="Aptos" w:cstheme="minorHAnsi"/>
        </w:rPr>
        <w:t xml:space="preserve">Tenders </w:t>
      </w:r>
      <w:r w:rsidR="001416DB">
        <w:rPr>
          <w:rFonts w:ascii="Aptos" w:hAnsi="Aptos" w:cstheme="minorHAnsi"/>
        </w:rPr>
        <w:t>must</w:t>
      </w:r>
      <w:r w:rsidRPr="007617B0">
        <w:rPr>
          <w:rFonts w:ascii="Aptos" w:hAnsi="Aptos" w:cstheme="minorHAnsi"/>
        </w:rPr>
        <w:t xml:space="preserve"> complete the </w:t>
      </w:r>
      <w:r w:rsidR="0035758D">
        <w:rPr>
          <w:rFonts w:ascii="Aptos" w:hAnsi="Aptos" w:cstheme="minorHAnsi"/>
        </w:rPr>
        <w:t xml:space="preserve">attached </w:t>
      </w:r>
      <w:r w:rsidRPr="007617B0">
        <w:rPr>
          <w:rFonts w:ascii="Aptos" w:hAnsi="Aptos" w:cstheme="minorHAnsi"/>
        </w:rPr>
        <w:t xml:space="preserve">Conflict of Interest Declaration </w:t>
      </w:r>
      <w:r w:rsidR="0035758D">
        <w:rPr>
          <w:rFonts w:ascii="Aptos" w:hAnsi="Aptos" w:cstheme="minorHAnsi"/>
        </w:rPr>
        <w:t>- see</w:t>
      </w:r>
      <w:r w:rsidRPr="007617B0">
        <w:rPr>
          <w:rFonts w:ascii="Aptos" w:hAnsi="Aptos" w:cstheme="minorHAnsi"/>
        </w:rPr>
        <w:t xml:space="preserve"> </w:t>
      </w:r>
      <w:r w:rsidRPr="007617B0">
        <w:rPr>
          <w:rFonts w:ascii="Aptos" w:hAnsi="Aptos" w:cstheme="minorHAnsi"/>
          <w:b/>
          <w:bCs/>
        </w:rPr>
        <w:t>Schedule 14.</w:t>
      </w:r>
    </w:p>
    <w:p w14:paraId="5E22C840" w14:textId="77777777" w:rsidR="00710321" w:rsidRPr="007617B0" w:rsidRDefault="00710321" w:rsidP="0043347C">
      <w:pPr>
        <w:pStyle w:val="Heading2"/>
        <w:numPr>
          <w:ilvl w:val="0"/>
          <w:numId w:val="51"/>
        </w:numPr>
        <w:rPr>
          <w:rFonts w:ascii="Aptos" w:hAnsi="Aptos" w:cs="Arial"/>
        </w:rPr>
      </w:pPr>
      <w:bookmarkStart w:id="146" w:name="_Toc208856244"/>
      <w:bookmarkStart w:id="147" w:name="_Toc208864876"/>
      <w:r w:rsidRPr="007617B0">
        <w:rPr>
          <w:rFonts w:ascii="Aptos" w:hAnsi="Aptos" w:cs="Arial"/>
        </w:rPr>
        <w:t>Conflict assessments</w:t>
      </w:r>
      <w:bookmarkEnd w:id="146"/>
      <w:bookmarkEnd w:id="147"/>
    </w:p>
    <w:p w14:paraId="77692214" w14:textId="48E657E5" w:rsidR="00710321" w:rsidRPr="007617B0" w:rsidRDefault="000D5F73" w:rsidP="00EF5610">
      <w:pPr>
        <w:pStyle w:val="Parasubclause1"/>
        <w:rPr>
          <w:rFonts w:ascii="Aptos" w:hAnsi="Aptos"/>
        </w:rPr>
      </w:pPr>
      <w:r w:rsidRPr="007617B0">
        <w:rPr>
          <w:rFonts w:ascii="Aptos" w:hAnsi="Aptos"/>
        </w:rPr>
        <w:t>OAT</w:t>
      </w:r>
      <w:r w:rsidR="00710321" w:rsidRPr="007617B0">
        <w:rPr>
          <w:rFonts w:ascii="Aptos" w:hAnsi="Aptos"/>
        </w:rPr>
        <w:t xml:space="preserve"> confirms that, prior to the issue of the Tender Notice in this </w:t>
      </w:r>
      <w:r w:rsidRPr="007617B0">
        <w:rPr>
          <w:rFonts w:ascii="Aptos" w:hAnsi="Aptos"/>
        </w:rPr>
        <w:t>p</w:t>
      </w:r>
      <w:r w:rsidR="00710321" w:rsidRPr="007617B0">
        <w:rPr>
          <w:rFonts w:ascii="Aptos" w:hAnsi="Aptos"/>
        </w:rPr>
        <w:t>rocurement, a conflict assessment has been prepared in accordance with the Act.</w:t>
      </w:r>
    </w:p>
    <w:p w14:paraId="174D4983" w14:textId="77777777" w:rsidR="00710321" w:rsidRPr="0043384B" w:rsidRDefault="00710321" w:rsidP="0043347C">
      <w:pPr>
        <w:pStyle w:val="Heading2"/>
        <w:numPr>
          <w:ilvl w:val="0"/>
          <w:numId w:val="51"/>
        </w:numPr>
        <w:rPr>
          <w:rFonts w:ascii="Aptos" w:hAnsi="Aptos" w:cs="Arial"/>
        </w:rPr>
      </w:pPr>
      <w:bookmarkStart w:id="148" w:name="_Toc208856245"/>
      <w:bookmarkStart w:id="149" w:name="_Toc208864877"/>
      <w:r w:rsidRPr="0043384B">
        <w:rPr>
          <w:rFonts w:ascii="Aptos" w:hAnsi="Aptos" w:cs="Arial"/>
        </w:rPr>
        <w:lastRenderedPageBreak/>
        <w:t>Intellectual property</w:t>
      </w:r>
      <w:bookmarkEnd w:id="148"/>
      <w:bookmarkEnd w:id="149"/>
      <w:r w:rsidRPr="0043384B">
        <w:rPr>
          <w:rFonts w:ascii="Aptos" w:hAnsi="Aptos" w:cs="Arial"/>
        </w:rPr>
        <w:t xml:space="preserve"> </w:t>
      </w:r>
    </w:p>
    <w:p w14:paraId="502FE079" w14:textId="58C2806B" w:rsidR="00945546" w:rsidRPr="007617B0" w:rsidRDefault="00945546" w:rsidP="004347A7">
      <w:pPr>
        <w:pStyle w:val="Parasubclause1"/>
        <w:numPr>
          <w:ilvl w:val="0"/>
          <w:numId w:val="45"/>
        </w:numPr>
        <w:rPr>
          <w:rFonts w:ascii="Aptos" w:hAnsi="Aptos"/>
        </w:rPr>
      </w:pPr>
      <w:bookmarkStart w:id="150" w:name="_Toc189059404"/>
      <w:r w:rsidRPr="007617B0">
        <w:rPr>
          <w:rFonts w:ascii="Aptos" w:hAnsi="Aptos"/>
        </w:rPr>
        <w:t>Tenderers are reminded that all intellectual property rights, including copyright, in the documents and materials supplied by OAT and/or its advisers in this procurement, in whatever format, belong to OAT, its advisers or the relevant owner/licensor. Tenderers shall not copy, reproduce, distribute or otherwise make available any part of these documents to any third par</w:t>
      </w:r>
      <w:r w:rsidRPr="00FD27A1">
        <w:rPr>
          <w:rFonts w:ascii="Aptos" w:hAnsi="Aptos"/>
        </w:rPr>
        <w:t>ty (</w:t>
      </w:r>
      <w:r w:rsidRPr="00FD27A1">
        <w:rPr>
          <w:rFonts w:ascii="Aptos" w:hAnsi="Aptos"/>
          <w:color w:val="auto"/>
        </w:rPr>
        <w:t>except</w:t>
      </w:r>
      <w:r w:rsidRPr="00FD27A1">
        <w:rPr>
          <w:rFonts w:ascii="Aptos" w:hAnsi="Aptos"/>
        </w:rPr>
        <w:t xml:space="preserve"> for</w:t>
      </w:r>
      <w:r w:rsidRPr="007617B0">
        <w:rPr>
          <w:rFonts w:ascii="Aptos" w:hAnsi="Aptos"/>
        </w:rPr>
        <w:t xml:space="preserve"> the purpose of preparing a submission) without the prior written consent of OAT</w:t>
      </w:r>
      <w:r w:rsidR="00EA403D" w:rsidRPr="007617B0">
        <w:rPr>
          <w:rFonts w:ascii="Aptos" w:hAnsi="Aptos"/>
        </w:rPr>
        <w:t>.</w:t>
      </w:r>
      <w:r w:rsidRPr="007617B0">
        <w:rPr>
          <w:rFonts w:ascii="Aptos" w:hAnsi="Aptos"/>
        </w:rPr>
        <w:t xml:space="preserve"> All documentation supplied by the OAT in relation to this procurement must be returned or destroyed on demand, without any copies being retained by Tenderers. All intellectual property rights in the Services and Deliverables (as defined in the Contract) shall belong to OAT (save as otherwise agreed otherwise in writing with OAT)</w:t>
      </w:r>
    </w:p>
    <w:p w14:paraId="29860B0C" w14:textId="1CB3813B" w:rsidR="00945546" w:rsidRPr="007617B0" w:rsidRDefault="00945546" w:rsidP="004347A7">
      <w:pPr>
        <w:pStyle w:val="Parasubclause1"/>
        <w:numPr>
          <w:ilvl w:val="0"/>
          <w:numId w:val="45"/>
        </w:numPr>
        <w:rPr>
          <w:rFonts w:ascii="Aptos" w:hAnsi="Aptos"/>
        </w:rPr>
      </w:pPr>
      <w:r w:rsidRPr="007617B0">
        <w:rPr>
          <w:rFonts w:ascii="Aptos" w:hAnsi="Aptos"/>
        </w:rPr>
        <w:t xml:space="preserve">Tenderers are asked to confirm in the </w:t>
      </w:r>
      <w:r w:rsidR="00D8555B">
        <w:rPr>
          <w:rFonts w:ascii="Aptos" w:hAnsi="Aptos"/>
        </w:rPr>
        <w:t xml:space="preserve">attached </w:t>
      </w:r>
      <w:r w:rsidR="006D00EF" w:rsidRPr="0043347C">
        <w:rPr>
          <w:rFonts w:ascii="Aptos" w:hAnsi="Aptos"/>
          <w:b/>
          <w:bCs/>
        </w:rPr>
        <w:t xml:space="preserve">Schedule 12 - </w:t>
      </w:r>
      <w:r w:rsidRPr="0043347C">
        <w:rPr>
          <w:rFonts w:ascii="Aptos" w:hAnsi="Aptos"/>
          <w:b/>
          <w:bCs/>
        </w:rPr>
        <w:t>Form of Tender and Declaration</w:t>
      </w:r>
      <w:r w:rsidRPr="007617B0">
        <w:rPr>
          <w:rFonts w:ascii="Aptos" w:hAnsi="Aptos"/>
        </w:rPr>
        <w:t xml:space="preserve"> whether they have used AI or machine learning tools, including large language models, to assist in any part of their Tender. Where AI tools have been used to support the generation of Tender responses, Tenderers are asked to confirm in the Form of Tender and Declaration that they have been checked and verified for accuracy.</w:t>
      </w:r>
    </w:p>
    <w:p w14:paraId="5567ECC3" w14:textId="77777777" w:rsidR="00710321" w:rsidRPr="007617B0" w:rsidRDefault="00710321" w:rsidP="0043347C">
      <w:pPr>
        <w:pStyle w:val="Heading2"/>
        <w:numPr>
          <w:ilvl w:val="0"/>
          <w:numId w:val="51"/>
        </w:numPr>
        <w:rPr>
          <w:rFonts w:ascii="Aptos" w:hAnsi="Aptos" w:cs="Arial"/>
        </w:rPr>
      </w:pPr>
      <w:bookmarkStart w:id="151" w:name="_Toc208856246"/>
      <w:bookmarkStart w:id="152" w:name="_Toc208864878"/>
      <w:bookmarkEnd w:id="150"/>
      <w:r w:rsidRPr="007617B0">
        <w:rPr>
          <w:rFonts w:ascii="Aptos" w:hAnsi="Aptos" w:cs="Arial"/>
        </w:rPr>
        <w:t>Anti-competitive behaviour</w:t>
      </w:r>
      <w:bookmarkEnd w:id="151"/>
      <w:bookmarkEnd w:id="152"/>
    </w:p>
    <w:p w14:paraId="0EF2E9F5" w14:textId="06A89F4A" w:rsidR="00710321" w:rsidRPr="007617B0" w:rsidRDefault="00EA403D" w:rsidP="004347A7">
      <w:pPr>
        <w:pStyle w:val="Parasubclause1"/>
        <w:numPr>
          <w:ilvl w:val="0"/>
          <w:numId w:val="45"/>
        </w:numPr>
        <w:rPr>
          <w:rFonts w:ascii="Aptos" w:hAnsi="Aptos"/>
        </w:rPr>
      </w:pPr>
      <w:r w:rsidRPr="007617B0">
        <w:rPr>
          <w:rFonts w:ascii="Aptos" w:hAnsi="Aptos"/>
        </w:rPr>
        <w:t>Tenderers are</w:t>
      </w:r>
      <w:r w:rsidR="00710321" w:rsidRPr="007617B0">
        <w:rPr>
          <w:rFonts w:ascii="Aptos" w:hAnsi="Aptos"/>
        </w:rPr>
        <w:t xml:space="preserve"> reminded of their obligations under applicable competition laws. </w:t>
      </w:r>
      <w:r w:rsidR="000D5F73" w:rsidRPr="007617B0">
        <w:rPr>
          <w:rFonts w:ascii="Aptos" w:hAnsi="Aptos"/>
        </w:rPr>
        <w:t>OAT</w:t>
      </w:r>
      <w:r w:rsidR="00710321" w:rsidRPr="007617B0">
        <w:rPr>
          <w:rFonts w:ascii="Aptos" w:hAnsi="Aptos"/>
        </w:rPr>
        <w:t xml:space="preserve"> may require evidence from </w:t>
      </w:r>
      <w:r w:rsidRPr="007617B0">
        <w:rPr>
          <w:rFonts w:ascii="Aptos" w:hAnsi="Aptos"/>
        </w:rPr>
        <w:t>Tenderers that</w:t>
      </w:r>
      <w:r w:rsidR="00710321" w:rsidRPr="007617B0">
        <w:rPr>
          <w:rFonts w:ascii="Aptos" w:hAnsi="Aptos"/>
        </w:rPr>
        <w:t xml:space="preserve"> their arrangements are not anti-competitive and reserves the right to require any </w:t>
      </w:r>
      <w:r w:rsidR="000D5F73" w:rsidRPr="007617B0">
        <w:rPr>
          <w:rFonts w:ascii="Aptos" w:hAnsi="Aptos"/>
        </w:rPr>
        <w:t>Tenderer to</w:t>
      </w:r>
      <w:r w:rsidR="00710321" w:rsidRPr="007617B0">
        <w:rPr>
          <w:rFonts w:ascii="Aptos" w:hAnsi="Aptos"/>
        </w:rPr>
        <w:t xml:space="preserve"> comply with any reasonable measures which may be needed to verify that no anti-competitive arrangements are in place.</w:t>
      </w:r>
    </w:p>
    <w:p w14:paraId="18060BD0" w14:textId="0E3B6430" w:rsidR="00710321" w:rsidRPr="007617B0" w:rsidRDefault="00710321" w:rsidP="004347A7">
      <w:pPr>
        <w:pStyle w:val="Parasubclause1"/>
        <w:numPr>
          <w:ilvl w:val="0"/>
          <w:numId w:val="45"/>
        </w:numPr>
        <w:rPr>
          <w:rFonts w:ascii="Aptos" w:hAnsi="Aptos"/>
        </w:rPr>
      </w:pPr>
      <w:r w:rsidRPr="007617B0">
        <w:rPr>
          <w:rFonts w:ascii="Aptos" w:hAnsi="Aptos"/>
        </w:rPr>
        <w:t xml:space="preserve">Any evidence of anti-competitive behaviour may result in </w:t>
      </w:r>
      <w:r w:rsidR="000D5F73" w:rsidRPr="007617B0">
        <w:rPr>
          <w:rFonts w:ascii="Aptos" w:hAnsi="Aptos"/>
        </w:rPr>
        <w:t>a Tenderer</w:t>
      </w:r>
      <w:r w:rsidRPr="007617B0">
        <w:rPr>
          <w:rFonts w:ascii="Aptos" w:hAnsi="Aptos"/>
        </w:rPr>
        <w:t xml:space="preserve"> being disqualified from the </w:t>
      </w:r>
      <w:r w:rsidR="000D5F73" w:rsidRPr="007617B0">
        <w:rPr>
          <w:rFonts w:ascii="Aptos" w:hAnsi="Aptos"/>
        </w:rPr>
        <w:t>p</w:t>
      </w:r>
      <w:r w:rsidRPr="007617B0">
        <w:rPr>
          <w:rFonts w:ascii="Aptos" w:hAnsi="Aptos"/>
        </w:rPr>
        <w:t xml:space="preserve">rocurement. </w:t>
      </w:r>
      <w:r w:rsidR="000D5F73" w:rsidRPr="007617B0">
        <w:rPr>
          <w:rFonts w:ascii="Aptos" w:hAnsi="Aptos"/>
        </w:rPr>
        <w:t>OAT</w:t>
      </w:r>
      <w:r w:rsidRPr="007617B0">
        <w:rPr>
          <w:rFonts w:ascii="Aptos" w:hAnsi="Aptos"/>
        </w:rPr>
        <w:t xml:space="preserve"> also reserves the right to refer any suspected breaches of applicable competition laws to the relevant authorities including, but not limited to, the Competition and Markets Authority and the Serious Fraud Office. </w:t>
      </w:r>
    </w:p>
    <w:p w14:paraId="3AFFD9B1" w14:textId="53472419" w:rsidR="00710321" w:rsidRPr="007617B0" w:rsidRDefault="000D5F73" w:rsidP="004347A7">
      <w:pPr>
        <w:pStyle w:val="Parasubclause1"/>
        <w:numPr>
          <w:ilvl w:val="0"/>
          <w:numId w:val="45"/>
        </w:numPr>
        <w:rPr>
          <w:rFonts w:ascii="Aptos" w:hAnsi="Aptos"/>
        </w:rPr>
      </w:pPr>
      <w:r w:rsidRPr="007617B0">
        <w:rPr>
          <w:rFonts w:ascii="Aptos" w:hAnsi="Aptos"/>
        </w:rPr>
        <w:t xml:space="preserve">Tenderers </w:t>
      </w:r>
      <w:r w:rsidR="00710321" w:rsidRPr="007617B0">
        <w:rPr>
          <w:rFonts w:ascii="Aptos" w:hAnsi="Aptos"/>
        </w:rPr>
        <w:t xml:space="preserve">should note that anti-competitive behaviour may result in the </w:t>
      </w:r>
      <w:r w:rsidRPr="007617B0">
        <w:rPr>
          <w:rFonts w:ascii="Aptos" w:hAnsi="Aptos"/>
        </w:rPr>
        <w:t xml:space="preserve">Tenderer </w:t>
      </w:r>
      <w:r w:rsidR="00710321" w:rsidRPr="007617B0">
        <w:rPr>
          <w:rFonts w:ascii="Aptos" w:hAnsi="Aptos"/>
        </w:rPr>
        <w:t xml:space="preserve">being excluded from bidding for contracts under Schedule 7, Paragraph 7 of the Act. Where a relevant decision has been made by the Competition and Markets Authority under the Competition Act 1998, </w:t>
      </w:r>
      <w:r w:rsidRPr="007617B0">
        <w:rPr>
          <w:rFonts w:ascii="Aptos" w:hAnsi="Aptos"/>
        </w:rPr>
        <w:t>the Tenderer</w:t>
      </w:r>
      <w:r w:rsidR="00710321" w:rsidRPr="007617B0">
        <w:rPr>
          <w:rFonts w:ascii="Aptos" w:hAnsi="Aptos"/>
        </w:rPr>
        <w:t xml:space="preserve"> may also be excluded from bidding for contracts under Schedule 6, paragraph 41</w:t>
      </w:r>
      <w:r w:rsidRPr="007617B0">
        <w:rPr>
          <w:rFonts w:ascii="Aptos" w:hAnsi="Aptos"/>
        </w:rPr>
        <w:t xml:space="preserve"> of the Act</w:t>
      </w:r>
      <w:r w:rsidR="00710321" w:rsidRPr="007617B0">
        <w:rPr>
          <w:rFonts w:ascii="Aptos" w:hAnsi="Aptos"/>
        </w:rPr>
        <w:t xml:space="preserve"> and may be added to the debarment list and/or be liable for civil and/or criminal penalties.</w:t>
      </w:r>
    </w:p>
    <w:p w14:paraId="044F3ECF" w14:textId="77777777" w:rsidR="00710321" w:rsidRPr="007617B0" w:rsidRDefault="00710321" w:rsidP="0043347C">
      <w:pPr>
        <w:pStyle w:val="Heading2"/>
        <w:numPr>
          <w:ilvl w:val="0"/>
          <w:numId w:val="51"/>
        </w:numPr>
        <w:rPr>
          <w:rFonts w:ascii="Aptos" w:hAnsi="Aptos" w:cs="Arial"/>
        </w:rPr>
      </w:pPr>
      <w:bookmarkStart w:id="153" w:name="_Toc208856247"/>
      <w:bookmarkStart w:id="154" w:name="_Toc208864879"/>
      <w:r w:rsidRPr="007617B0">
        <w:rPr>
          <w:rFonts w:ascii="Aptos" w:hAnsi="Aptos" w:cs="Arial"/>
        </w:rPr>
        <w:t>Contract</w:t>
      </w:r>
      <w:bookmarkEnd w:id="153"/>
      <w:bookmarkEnd w:id="154"/>
      <w:r w:rsidRPr="007617B0">
        <w:rPr>
          <w:rFonts w:ascii="Aptos" w:hAnsi="Aptos" w:cs="Arial"/>
        </w:rPr>
        <w:t xml:space="preserve"> </w:t>
      </w:r>
    </w:p>
    <w:p w14:paraId="5D9DEFD4" w14:textId="7CFE6671" w:rsidR="00D12C43" w:rsidRDefault="00413CC8" w:rsidP="0043347C">
      <w:pPr>
        <w:pStyle w:val="ListParagraph"/>
        <w:spacing w:after="0" w:line="276" w:lineRule="auto"/>
        <w:ind w:left="1440"/>
        <w:rPr>
          <w:rFonts w:ascii="Aptos" w:hAnsi="Aptos" w:cstheme="minorHAnsi"/>
          <w:bCs/>
        </w:rPr>
      </w:pPr>
      <w:r w:rsidRPr="007617B0">
        <w:rPr>
          <w:rFonts w:ascii="Aptos" w:eastAsia="Times New Roman" w:hAnsi="Aptos"/>
        </w:rPr>
        <w:t xml:space="preserve">After the publication of the </w:t>
      </w:r>
      <w:r w:rsidR="008747F3" w:rsidRPr="007617B0">
        <w:rPr>
          <w:rFonts w:ascii="Aptos" w:eastAsia="Times New Roman" w:hAnsi="Aptos"/>
        </w:rPr>
        <w:t>Contract Award Notice and conclusion of any standstill period required by Procurement Act 2023, t</w:t>
      </w:r>
      <w:r w:rsidRPr="007617B0">
        <w:rPr>
          <w:rFonts w:ascii="Aptos" w:eastAsia="Times New Roman" w:hAnsi="Aptos"/>
        </w:rPr>
        <w:t xml:space="preserve">he successful supplier will be sent, via </w:t>
      </w:r>
      <w:r w:rsidR="00A40FD4">
        <w:rPr>
          <w:rFonts w:ascii="Aptos" w:eastAsia="Times New Roman" w:hAnsi="Aptos"/>
        </w:rPr>
        <w:t xml:space="preserve">the </w:t>
      </w:r>
      <w:r w:rsidR="00B63E6F">
        <w:rPr>
          <w:rFonts w:ascii="Aptos" w:eastAsia="Times New Roman" w:hAnsi="Aptos"/>
        </w:rPr>
        <w:t>tendering</w:t>
      </w:r>
      <w:r w:rsidRPr="007617B0">
        <w:rPr>
          <w:rFonts w:ascii="Aptos" w:eastAsia="Times New Roman" w:hAnsi="Aptos"/>
        </w:rPr>
        <w:t xml:space="preserve"> Portal, a</w:t>
      </w:r>
      <w:r w:rsidR="008747F3" w:rsidRPr="007617B0">
        <w:rPr>
          <w:rFonts w:ascii="Aptos" w:eastAsia="Times New Roman" w:hAnsi="Aptos"/>
        </w:rPr>
        <w:t xml:space="preserve"> Contract </w:t>
      </w:r>
      <w:r w:rsidR="00D12C43" w:rsidRPr="007617B0">
        <w:rPr>
          <w:rFonts w:ascii="Aptos" w:eastAsia="Times New Roman" w:hAnsi="Aptos"/>
        </w:rPr>
        <w:t>Award letter</w:t>
      </w:r>
      <w:r w:rsidR="004A2109">
        <w:rPr>
          <w:rFonts w:ascii="Aptos" w:eastAsia="Times New Roman" w:hAnsi="Aptos"/>
        </w:rPr>
        <w:t xml:space="preserve"> and a fully populated </w:t>
      </w:r>
      <w:r w:rsidR="00F926AF">
        <w:rPr>
          <w:rFonts w:ascii="Aptos" w:eastAsia="Times New Roman" w:hAnsi="Aptos"/>
        </w:rPr>
        <w:t xml:space="preserve">and Client signed </w:t>
      </w:r>
      <w:r w:rsidR="004A2109">
        <w:rPr>
          <w:rFonts w:ascii="Aptos" w:eastAsia="Times New Roman" w:hAnsi="Aptos"/>
        </w:rPr>
        <w:lastRenderedPageBreak/>
        <w:t xml:space="preserve">version of the final Framework </w:t>
      </w:r>
      <w:r w:rsidR="00BC4F52">
        <w:rPr>
          <w:rFonts w:ascii="Aptos" w:eastAsia="Times New Roman" w:hAnsi="Aptos"/>
        </w:rPr>
        <w:t>Agreement.</w:t>
      </w:r>
      <w:r w:rsidR="008747F3" w:rsidRPr="007617B0">
        <w:rPr>
          <w:rFonts w:ascii="Aptos" w:eastAsia="Times New Roman" w:hAnsi="Aptos"/>
        </w:rPr>
        <w:t xml:space="preserve"> T</w:t>
      </w:r>
      <w:r w:rsidR="00D12C43" w:rsidRPr="007617B0">
        <w:rPr>
          <w:rFonts w:ascii="Aptos" w:eastAsia="Times New Roman" w:hAnsi="Aptos"/>
        </w:rPr>
        <w:t xml:space="preserve">he Award Letter </w:t>
      </w:r>
      <w:r w:rsidR="00BC4F52">
        <w:rPr>
          <w:rFonts w:ascii="Aptos" w:eastAsia="Times New Roman" w:hAnsi="Aptos"/>
        </w:rPr>
        <w:t xml:space="preserve">and the final Framework agreement </w:t>
      </w:r>
      <w:r w:rsidR="00D12C43" w:rsidRPr="007617B0">
        <w:rPr>
          <w:rFonts w:ascii="Aptos" w:eastAsia="Times New Roman" w:hAnsi="Aptos"/>
        </w:rPr>
        <w:t xml:space="preserve">is OATs offer of the contract to the supplier. When OAT receives written acceptance </w:t>
      </w:r>
      <w:r w:rsidR="00BC4F52">
        <w:rPr>
          <w:rFonts w:ascii="Aptos" w:eastAsia="Times New Roman" w:hAnsi="Aptos"/>
        </w:rPr>
        <w:t>and a</w:t>
      </w:r>
      <w:r w:rsidR="00C3498D">
        <w:rPr>
          <w:rFonts w:ascii="Aptos" w:eastAsia="Times New Roman" w:hAnsi="Aptos"/>
        </w:rPr>
        <w:t xml:space="preserve">n unmodified </w:t>
      </w:r>
      <w:r w:rsidR="00BC4F52">
        <w:rPr>
          <w:rFonts w:ascii="Aptos" w:eastAsia="Times New Roman" w:hAnsi="Aptos"/>
        </w:rPr>
        <w:t>counter-signed framework agreement</w:t>
      </w:r>
      <w:r w:rsidR="00C3498D">
        <w:rPr>
          <w:rFonts w:ascii="Aptos" w:eastAsia="Times New Roman" w:hAnsi="Aptos"/>
        </w:rPr>
        <w:t xml:space="preserve"> </w:t>
      </w:r>
      <w:r w:rsidR="00D12C43" w:rsidRPr="007617B0">
        <w:rPr>
          <w:rFonts w:ascii="Aptos" w:eastAsia="Times New Roman" w:hAnsi="Aptos"/>
        </w:rPr>
        <w:t>from the supplier</w:t>
      </w:r>
      <w:r w:rsidR="00F926AF">
        <w:rPr>
          <w:rFonts w:ascii="Aptos" w:eastAsia="Times New Roman" w:hAnsi="Aptos"/>
        </w:rPr>
        <w:t xml:space="preserve"> </w:t>
      </w:r>
      <w:r w:rsidR="00D12C43" w:rsidRPr="007617B0">
        <w:rPr>
          <w:rFonts w:ascii="Aptos" w:eastAsia="Times New Roman" w:hAnsi="Aptos"/>
        </w:rPr>
        <w:t xml:space="preserve">via </w:t>
      </w:r>
      <w:r w:rsidR="008071FF">
        <w:rPr>
          <w:rFonts w:ascii="Aptos" w:eastAsia="Times New Roman" w:hAnsi="Aptos"/>
        </w:rPr>
        <w:t xml:space="preserve">the </w:t>
      </w:r>
      <w:r w:rsidR="00543B8D">
        <w:rPr>
          <w:rFonts w:ascii="Aptos" w:eastAsia="Times New Roman" w:hAnsi="Aptos"/>
        </w:rPr>
        <w:t>tendering</w:t>
      </w:r>
      <w:r w:rsidR="00D12C43" w:rsidRPr="007617B0">
        <w:rPr>
          <w:rFonts w:ascii="Aptos" w:eastAsia="Times New Roman" w:hAnsi="Aptos"/>
        </w:rPr>
        <w:t xml:space="preserve"> </w:t>
      </w:r>
      <w:r w:rsidR="00543B8D">
        <w:rPr>
          <w:rFonts w:ascii="Aptos" w:eastAsia="Times New Roman" w:hAnsi="Aptos"/>
        </w:rPr>
        <w:t>P</w:t>
      </w:r>
      <w:r w:rsidR="008071FF">
        <w:rPr>
          <w:rFonts w:ascii="Aptos" w:eastAsia="Times New Roman" w:hAnsi="Aptos"/>
        </w:rPr>
        <w:t xml:space="preserve">ortal, </w:t>
      </w:r>
      <w:r w:rsidR="00392A7B">
        <w:rPr>
          <w:rFonts w:ascii="Aptos" w:eastAsia="Times New Roman" w:hAnsi="Aptos"/>
        </w:rPr>
        <w:t xml:space="preserve">a </w:t>
      </w:r>
      <w:r w:rsidR="00392A7B" w:rsidRPr="007617B0">
        <w:rPr>
          <w:rFonts w:ascii="Aptos" w:eastAsia="Times New Roman" w:hAnsi="Aptos"/>
        </w:rPr>
        <w:t>contract</w:t>
      </w:r>
      <w:r w:rsidR="00D12C43" w:rsidRPr="007617B0">
        <w:rPr>
          <w:rFonts w:ascii="Aptos" w:eastAsia="Times New Roman" w:hAnsi="Aptos"/>
        </w:rPr>
        <w:t xml:space="preserve"> will be </w:t>
      </w:r>
      <w:r w:rsidR="008747F3" w:rsidRPr="007617B0">
        <w:rPr>
          <w:rFonts w:ascii="Aptos" w:eastAsia="Times New Roman" w:hAnsi="Aptos"/>
        </w:rPr>
        <w:t>formalised</w:t>
      </w:r>
      <w:r w:rsidR="00D12C43" w:rsidRPr="007617B0">
        <w:rPr>
          <w:rFonts w:ascii="Aptos" w:eastAsia="Times New Roman" w:hAnsi="Aptos"/>
        </w:rPr>
        <w:t xml:space="preserve">. OAT </w:t>
      </w:r>
      <w:r w:rsidR="008747F3" w:rsidRPr="007617B0">
        <w:rPr>
          <w:rFonts w:ascii="Aptos" w:eastAsia="Times New Roman" w:hAnsi="Aptos"/>
        </w:rPr>
        <w:t>requires</w:t>
      </w:r>
      <w:r w:rsidR="00D12C43" w:rsidRPr="007617B0">
        <w:rPr>
          <w:rFonts w:ascii="Aptos" w:eastAsia="Times New Roman" w:hAnsi="Aptos"/>
        </w:rPr>
        <w:t xml:space="preserve"> written acceptance </w:t>
      </w:r>
      <w:r w:rsidR="008747F3" w:rsidRPr="007617B0">
        <w:rPr>
          <w:rFonts w:ascii="Aptos" w:eastAsia="Times New Roman" w:hAnsi="Aptos"/>
        </w:rPr>
        <w:t xml:space="preserve">from the successful supplier </w:t>
      </w:r>
      <w:r w:rsidR="008C7025">
        <w:rPr>
          <w:rFonts w:ascii="Aptos" w:eastAsia="Times New Roman" w:hAnsi="Aptos"/>
        </w:rPr>
        <w:t xml:space="preserve">in response to the Award letter </w:t>
      </w:r>
      <w:r w:rsidR="007857A9">
        <w:rPr>
          <w:rFonts w:ascii="Aptos" w:eastAsia="Times New Roman" w:hAnsi="Aptos"/>
        </w:rPr>
        <w:t xml:space="preserve">and an unmodified counter-signed framework agreement </w:t>
      </w:r>
      <w:r w:rsidR="00D12C43" w:rsidRPr="007617B0">
        <w:rPr>
          <w:rFonts w:ascii="Aptos" w:eastAsia="Times New Roman" w:hAnsi="Aptos"/>
        </w:rPr>
        <w:t xml:space="preserve">within 3 days via the </w:t>
      </w:r>
      <w:r w:rsidR="00543B8D">
        <w:rPr>
          <w:rFonts w:ascii="Aptos" w:eastAsia="Times New Roman" w:hAnsi="Aptos"/>
        </w:rPr>
        <w:t>tendering Portal</w:t>
      </w:r>
      <w:r w:rsidR="00810AE2">
        <w:rPr>
          <w:rFonts w:ascii="Aptos" w:eastAsia="Times New Roman" w:hAnsi="Aptos"/>
        </w:rPr>
        <w:t xml:space="preserve"> or</w:t>
      </w:r>
      <w:r w:rsidR="00D12C43" w:rsidRPr="007617B0">
        <w:rPr>
          <w:rFonts w:ascii="Aptos" w:eastAsia="Times New Roman" w:hAnsi="Aptos"/>
        </w:rPr>
        <w:t xml:space="preserve"> </w:t>
      </w:r>
      <w:r w:rsidR="008747F3" w:rsidRPr="007617B0">
        <w:rPr>
          <w:rFonts w:ascii="Aptos" w:eastAsia="Times New Roman" w:hAnsi="Aptos"/>
        </w:rPr>
        <w:t xml:space="preserve">OAT </w:t>
      </w:r>
      <w:r w:rsidR="00D12C43" w:rsidRPr="007617B0">
        <w:rPr>
          <w:rFonts w:ascii="Aptos" w:eastAsia="Times New Roman" w:hAnsi="Aptos"/>
        </w:rPr>
        <w:t>reserve</w:t>
      </w:r>
      <w:r w:rsidR="00A36B31">
        <w:rPr>
          <w:rFonts w:ascii="Aptos" w:eastAsia="Times New Roman" w:hAnsi="Aptos"/>
        </w:rPr>
        <w:t>s</w:t>
      </w:r>
      <w:r w:rsidR="00D12C43" w:rsidRPr="007617B0">
        <w:rPr>
          <w:rFonts w:ascii="Aptos" w:eastAsia="Times New Roman" w:hAnsi="Aptos"/>
        </w:rPr>
        <w:t xml:space="preserve"> the right to consider awarding the contract to the next ranked supplier.</w:t>
      </w:r>
      <w:r w:rsidR="002C5F8A" w:rsidRPr="007617B0">
        <w:rPr>
          <w:rStyle w:val="FootnoteReference"/>
          <w:rFonts w:ascii="Aptos" w:hAnsi="Aptos" w:cstheme="minorHAnsi"/>
          <w:bCs/>
        </w:rPr>
        <w:t xml:space="preserve"> </w:t>
      </w:r>
    </w:p>
    <w:p w14:paraId="4DCBAC59" w14:textId="77777777" w:rsidR="00536AB8" w:rsidRDefault="00536AB8" w:rsidP="0043347C">
      <w:pPr>
        <w:pStyle w:val="ListParagraph"/>
        <w:spacing w:after="0" w:line="276" w:lineRule="auto"/>
        <w:ind w:left="1440"/>
        <w:rPr>
          <w:rFonts w:ascii="Aptos" w:hAnsi="Aptos" w:cstheme="minorHAnsi"/>
          <w:bCs/>
        </w:rPr>
      </w:pPr>
    </w:p>
    <w:p w14:paraId="134F6027" w14:textId="4F75CF4A" w:rsidR="00160323" w:rsidRPr="007617B0" w:rsidRDefault="000D3500" w:rsidP="0043347C">
      <w:pPr>
        <w:pStyle w:val="BodyText1"/>
        <w:spacing w:line="276" w:lineRule="auto"/>
        <w:ind w:left="1440"/>
        <w:rPr>
          <w:rFonts w:ascii="Aptos" w:eastAsia="Times New Roman" w:hAnsi="Aptos"/>
          <w:highlight w:val="yellow"/>
        </w:rPr>
      </w:pPr>
      <w:r>
        <w:rPr>
          <w:rFonts w:ascii="Aptos" w:hAnsi="Aptos" w:cstheme="minorHAnsi"/>
          <w:bCs/>
        </w:rPr>
        <w:t xml:space="preserve">Tenderers should note that, notwithstanding the </w:t>
      </w:r>
      <w:r w:rsidR="00213B83">
        <w:rPr>
          <w:rFonts w:ascii="Aptos" w:hAnsi="Aptos" w:cstheme="minorHAnsi"/>
          <w:bCs/>
        </w:rPr>
        <w:t xml:space="preserve">areas of </w:t>
      </w:r>
      <w:r w:rsidR="00095A4C">
        <w:rPr>
          <w:rFonts w:ascii="Aptos" w:hAnsi="Aptos" w:cstheme="minorHAnsi"/>
          <w:bCs/>
        </w:rPr>
        <w:t xml:space="preserve">the </w:t>
      </w:r>
      <w:r w:rsidR="00213B83">
        <w:rPr>
          <w:rFonts w:ascii="Aptos" w:hAnsi="Aptos" w:cstheme="minorHAnsi"/>
          <w:bCs/>
        </w:rPr>
        <w:t xml:space="preserve">Framework agreement </w:t>
      </w:r>
      <w:r w:rsidR="002406C6">
        <w:rPr>
          <w:rFonts w:ascii="Aptos" w:hAnsi="Aptos" w:cstheme="minorHAnsi"/>
          <w:bCs/>
        </w:rPr>
        <w:t xml:space="preserve">highlighted </w:t>
      </w:r>
      <w:r w:rsidR="00E974A2">
        <w:rPr>
          <w:rFonts w:ascii="Aptos" w:hAnsi="Aptos" w:cstheme="minorHAnsi"/>
          <w:bCs/>
        </w:rPr>
        <w:t>for finalisation</w:t>
      </w:r>
      <w:r w:rsidR="00124500">
        <w:rPr>
          <w:rFonts w:ascii="Aptos" w:hAnsi="Aptos" w:cstheme="minorHAnsi"/>
          <w:bCs/>
        </w:rPr>
        <w:t>,</w:t>
      </w:r>
      <w:r w:rsidR="00C830BF">
        <w:rPr>
          <w:rFonts w:ascii="Aptos" w:hAnsi="Aptos" w:cstheme="minorHAnsi"/>
          <w:bCs/>
        </w:rPr>
        <w:t xml:space="preserve"> p</w:t>
      </w:r>
      <w:r w:rsidR="00C830BF" w:rsidRPr="009E215F">
        <w:rPr>
          <w:rFonts w:ascii="Aptos" w:hAnsi="Aptos" w:cstheme="minorHAnsi"/>
          <w:bCs/>
        </w:rPr>
        <w:t xml:space="preserve">articipation </w:t>
      </w:r>
      <w:r w:rsidR="00134616" w:rsidRPr="009E215F">
        <w:rPr>
          <w:rFonts w:ascii="Aptos" w:hAnsi="Aptos" w:cstheme="minorHAnsi"/>
        </w:rPr>
        <w:t>in this procurement process</w:t>
      </w:r>
      <w:r w:rsidR="00B46724" w:rsidRPr="009E215F">
        <w:rPr>
          <w:rFonts w:ascii="Aptos" w:hAnsi="Aptos" w:cstheme="minorHAnsi"/>
        </w:rPr>
        <w:t xml:space="preserve"> denotes the</w:t>
      </w:r>
      <w:r w:rsidR="00134616" w:rsidRPr="009E215F">
        <w:rPr>
          <w:rFonts w:ascii="Aptos" w:hAnsi="Aptos" w:cstheme="minorHAnsi"/>
        </w:rPr>
        <w:t xml:space="preserve"> </w:t>
      </w:r>
      <w:r w:rsidR="00B46724" w:rsidRPr="009E215F">
        <w:rPr>
          <w:rFonts w:ascii="Aptos" w:hAnsi="Aptos" w:cstheme="minorHAnsi"/>
        </w:rPr>
        <w:t>acceptance</w:t>
      </w:r>
      <w:r w:rsidR="00134616" w:rsidRPr="009E215F">
        <w:rPr>
          <w:rFonts w:ascii="Aptos" w:hAnsi="Aptos" w:cstheme="minorHAnsi"/>
        </w:rPr>
        <w:t xml:space="preserve"> </w:t>
      </w:r>
      <w:r w:rsidR="00B46724" w:rsidRPr="009E215F">
        <w:rPr>
          <w:rFonts w:ascii="Aptos" w:hAnsi="Aptos" w:cstheme="minorHAnsi"/>
        </w:rPr>
        <w:t xml:space="preserve">of </w:t>
      </w:r>
      <w:r w:rsidR="0036212F" w:rsidRPr="009E215F">
        <w:rPr>
          <w:rFonts w:ascii="Aptos" w:hAnsi="Aptos" w:cstheme="minorHAnsi"/>
        </w:rPr>
        <w:t xml:space="preserve">the </w:t>
      </w:r>
      <w:r w:rsidR="00124500" w:rsidRPr="009E215F">
        <w:rPr>
          <w:rFonts w:ascii="Aptos" w:hAnsi="Aptos" w:cstheme="minorHAnsi"/>
        </w:rPr>
        <w:t>‘fixed’ (not highlighted)</w:t>
      </w:r>
      <w:r w:rsidR="004B70EA" w:rsidRPr="009E215F">
        <w:rPr>
          <w:rFonts w:ascii="Aptos" w:hAnsi="Aptos" w:cstheme="minorHAnsi"/>
        </w:rPr>
        <w:t xml:space="preserve"> </w:t>
      </w:r>
      <w:r w:rsidR="00B45526" w:rsidRPr="009E215F">
        <w:rPr>
          <w:rFonts w:ascii="Aptos" w:hAnsi="Aptos" w:cstheme="minorHAnsi"/>
        </w:rPr>
        <w:t>sections of</w:t>
      </w:r>
      <w:r w:rsidR="00134616" w:rsidRPr="009E215F">
        <w:rPr>
          <w:rFonts w:ascii="Aptos" w:hAnsi="Aptos" w:cstheme="minorHAnsi"/>
        </w:rPr>
        <w:t xml:space="preserve"> the Framework Agreement </w:t>
      </w:r>
      <w:r w:rsidR="00C762FF" w:rsidRPr="009E215F">
        <w:rPr>
          <w:rFonts w:ascii="Aptos" w:hAnsi="Aptos" w:cstheme="minorHAnsi"/>
        </w:rPr>
        <w:t xml:space="preserve">proposed in Schedule 1 </w:t>
      </w:r>
      <w:r w:rsidR="00AA70B9" w:rsidRPr="009E215F">
        <w:rPr>
          <w:rFonts w:ascii="Aptos" w:hAnsi="Aptos" w:cstheme="minorHAnsi"/>
        </w:rPr>
        <w:t xml:space="preserve">and the attached </w:t>
      </w:r>
      <w:r w:rsidR="00CE657F" w:rsidRPr="0043347C">
        <w:rPr>
          <w:rFonts w:ascii="Aptos" w:hAnsi="Aptos" w:cstheme="minorHAnsi"/>
        </w:rPr>
        <w:t xml:space="preserve">Appendix </w:t>
      </w:r>
      <w:r w:rsidR="009E215F" w:rsidRPr="009E215F">
        <w:rPr>
          <w:rFonts w:ascii="Aptos" w:hAnsi="Aptos" w:cstheme="minorHAnsi"/>
        </w:rPr>
        <w:t>E -</w:t>
      </w:r>
      <w:r w:rsidR="009E215F">
        <w:rPr>
          <w:rFonts w:ascii="Aptos" w:hAnsi="Aptos" w:cstheme="minorHAnsi"/>
        </w:rPr>
        <w:t xml:space="preserve"> </w:t>
      </w:r>
      <w:r w:rsidR="00AA70B9">
        <w:rPr>
          <w:rFonts w:ascii="Aptos" w:hAnsi="Aptos" w:cstheme="minorHAnsi"/>
        </w:rPr>
        <w:t>Call-Off Contract</w:t>
      </w:r>
      <w:r w:rsidR="00CE657F">
        <w:rPr>
          <w:rFonts w:ascii="Aptos" w:hAnsi="Aptos" w:cstheme="minorHAnsi"/>
        </w:rPr>
        <w:t xml:space="preserve"> Terms and Conditions</w:t>
      </w:r>
      <w:r w:rsidR="004D6339">
        <w:rPr>
          <w:rFonts w:ascii="Aptos" w:hAnsi="Aptos" w:cstheme="minorHAnsi"/>
        </w:rPr>
        <w:t>.</w:t>
      </w:r>
    </w:p>
    <w:p w14:paraId="735DCF9B" w14:textId="1E5A4C38" w:rsidR="00710321" w:rsidRPr="007617B0" w:rsidRDefault="000D5F73" w:rsidP="0043347C">
      <w:pPr>
        <w:pStyle w:val="Heading2"/>
        <w:numPr>
          <w:ilvl w:val="0"/>
          <w:numId w:val="51"/>
        </w:numPr>
        <w:rPr>
          <w:rFonts w:ascii="Aptos" w:hAnsi="Aptos" w:cs="Arial"/>
        </w:rPr>
      </w:pPr>
      <w:bookmarkStart w:id="155" w:name="_Toc208856248"/>
      <w:bookmarkStart w:id="156" w:name="_Toc208864880"/>
      <w:r w:rsidRPr="007617B0">
        <w:rPr>
          <w:rFonts w:ascii="Aptos" w:hAnsi="Aptos" w:cs="Arial"/>
        </w:rPr>
        <w:t>Tenderer</w:t>
      </w:r>
      <w:r w:rsidR="00710321" w:rsidRPr="007617B0">
        <w:rPr>
          <w:rFonts w:ascii="Aptos" w:hAnsi="Aptos" w:cs="Arial"/>
        </w:rPr>
        <w:t xml:space="preserve"> withdrawal</w:t>
      </w:r>
      <w:bookmarkEnd w:id="155"/>
      <w:bookmarkEnd w:id="156"/>
      <w:r w:rsidR="00710321" w:rsidRPr="007617B0">
        <w:rPr>
          <w:rFonts w:ascii="Aptos" w:hAnsi="Aptos" w:cs="Arial"/>
        </w:rPr>
        <w:t xml:space="preserve"> </w:t>
      </w:r>
    </w:p>
    <w:p w14:paraId="70F2736D" w14:textId="5AB3C9FA" w:rsidR="00710321" w:rsidRPr="007617B0" w:rsidRDefault="000D5F73" w:rsidP="004347A7">
      <w:pPr>
        <w:pStyle w:val="Parasubclause1"/>
        <w:numPr>
          <w:ilvl w:val="0"/>
          <w:numId w:val="45"/>
        </w:numPr>
        <w:rPr>
          <w:rFonts w:ascii="Aptos" w:hAnsi="Aptos"/>
        </w:rPr>
      </w:pPr>
      <w:r w:rsidRPr="007617B0">
        <w:rPr>
          <w:rFonts w:ascii="Aptos" w:hAnsi="Aptos"/>
        </w:rPr>
        <w:t xml:space="preserve">Tenderers </w:t>
      </w:r>
      <w:r w:rsidR="00710321" w:rsidRPr="007617B0">
        <w:rPr>
          <w:rFonts w:ascii="Aptos" w:hAnsi="Aptos"/>
        </w:rPr>
        <w:t>may withdraw f</w:t>
      </w:r>
      <w:r w:rsidR="00710321" w:rsidRPr="004E66DE">
        <w:rPr>
          <w:rFonts w:ascii="Aptos" w:hAnsi="Aptos"/>
        </w:rPr>
        <w:t xml:space="preserve">rom the </w:t>
      </w:r>
      <w:r w:rsidRPr="004E66DE">
        <w:rPr>
          <w:rFonts w:ascii="Aptos" w:hAnsi="Aptos"/>
        </w:rPr>
        <w:t>p</w:t>
      </w:r>
      <w:r w:rsidR="00710321" w:rsidRPr="004E66DE">
        <w:rPr>
          <w:rFonts w:ascii="Aptos" w:hAnsi="Aptos"/>
        </w:rPr>
        <w:t xml:space="preserve">rocurement at any time before </w:t>
      </w:r>
      <w:r w:rsidR="006971C3" w:rsidRPr="004E66DE">
        <w:rPr>
          <w:rFonts w:ascii="Aptos" w:hAnsi="Aptos"/>
        </w:rPr>
        <w:t>the</w:t>
      </w:r>
      <w:r w:rsidR="00710321" w:rsidRPr="004E66DE">
        <w:rPr>
          <w:rFonts w:ascii="Aptos" w:hAnsi="Aptos"/>
        </w:rPr>
        <w:t xml:space="preserve"> submission deadline by providing </w:t>
      </w:r>
      <w:r w:rsidR="00C55FB4" w:rsidRPr="004E66DE">
        <w:rPr>
          <w:rFonts w:ascii="Aptos" w:hAnsi="Aptos"/>
        </w:rPr>
        <w:t>formal</w:t>
      </w:r>
      <w:r w:rsidR="00710321" w:rsidRPr="004E66DE">
        <w:rPr>
          <w:rFonts w:ascii="Aptos" w:hAnsi="Aptos"/>
        </w:rPr>
        <w:t xml:space="preserve"> notification to </w:t>
      </w:r>
      <w:r w:rsidR="005A4413" w:rsidRPr="004E66DE">
        <w:rPr>
          <w:rFonts w:ascii="Aptos" w:hAnsi="Aptos"/>
        </w:rPr>
        <w:t>OAT</w:t>
      </w:r>
      <w:r w:rsidR="00710321" w:rsidRPr="004E66DE">
        <w:rPr>
          <w:rFonts w:ascii="Aptos" w:hAnsi="Aptos"/>
        </w:rPr>
        <w:t xml:space="preserve"> via the </w:t>
      </w:r>
      <w:r w:rsidR="004E66DE" w:rsidRPr="004E66DE">
        <w:rPr>
          <w:rFonts w:ascii="Aptos" w:hAnsi="Aptos"/>
        </w:rPr>
        <w:t xml:space="preserve">tendering </w:t>
      </w:r>
      <w:r w:rsidR="00710321" w:rsidRPr="004E66DE">
        <w:rPr>
          <w:rFonts w:ascii="Aptos" w:hAnsi="Aptos"/>
        </w:rPr>
        <w:t>Portal.</w:t>
      </w:r>
    </w:p>
    <w:p w14:paraId="70821021" w14:textId="26750CD4" w:rsidR="001C030D" w:rsidRPr="007617B0" w:rsidRDefault="001C030D" w:rsidP="004347A7">
      <w:pPr>
        <w:pStyle w:val="ListParagraph"/>
        <w:numPr>
          <w:ilvl w:val="0"/>
          <w:numId w:val="45"/>
        </w:numPr>
        <w:spacing w:after="0" w:line="240" w:lineRule="auto"/>
        <w:contextualSpacing w:val="0"/>
        <w:rPr>
          <w:rFonts w:ascii="Aptos" w:eastAsia="Times New Roman" w:hAnsi="Aptos"/>
        </w:rPr>
      </w:pPr>
      <w:r w:rsidRPr="007617B0">
        <w:rPr>
          <w:rFonts w:ascii="Aptos" w:eastAsia="Times New Roman" w:hAnsi="Aptos"/>
        </w:rPr>
        <w:t xml:space="preserve">If the successful </w:t>
      </w:r>
      <w:r w:rsidR="006971C3" w:rsidRPr="007617B0">
        <w:rPr>
          <w:rFonts w:ascii="Aptos" w:eastAsia="Times New Roman" w:hAnsi="Aptos"/>
        </w:rPr>
        <w:t>Tenderer withdraws</w:t>
      </w:r>
      <w:r w:rsidRPr="007617B0">
        <w:rPr>
          <w:rFonts w:ascii="Aptos" w:eastAsia="Times New Roman" w:hAnsi="Aptos"/>
        </w:rPr>
        <w:t xml:space="preserve"> after the</w:t>
      </w:r>
      <w:r w:rsidR="006971C3" w:rsidRPr="007617B0">
        <w:rPr>
          <w:rFonts w:ascii="Aptos" w:eastAsia="Times New Roman" w:hAnsi="Aptos"/>
        </w:rPr>
        <w:t xml:space="preserve"> </w:t>
      </w:r>
      <w:r w:rsidR="00310822">
        <w:rPr>
          <w:rFonts w:ascii="Aptos" w:eastAsia="Times New Roman" w:hAnsi="Aptos"/>
        </w:rPr>
        <w:t xml:space="preserve">Framework or call-off </w:t>
      </w:r>
      <w:r w:rsidR="006971C3" w:rsidRPr="007617B0">
        <w:rPr>
          <w:rFonts w:ascii="Aptos" w:eastAsia="Times New Roman" w:hAnsi="Aptos"/>
        </w:rPr>
        <w:t xml:space="preserve">Contract has been </w:t>
      </w:r>
      <w:r w:rsidR="00FE5F0D">
        <w:rPr>
          <w:rFonts w:ascii="Aptos" w:eastAsia="Times New Roman" w:hAnsi="Aptos"/>
        </w:rPr>
        <w:t xml:space="preserve">formally </w:t>
      </w:r>
      <w:r w:rsidR="00184FA9">
        <w:rPr>
          <w:rFonts w:ascii="Aptos" w:eastAsia="Times New Roman" w:hAnsi="Aptos"/>
        </w:rPr>
        <w:t>accepted</w:t>
      </w:r>
      <w:r w:rsidR="006971C3" w:rsidRPr="007617B0">
        <w:rPr>
          <w:rFonts w:ascii="Aptos" w:eastAsia="Times New Roman" w:hAnsi="Aptos"/>
        </w:rPr>
        <w:t xml:space="preserve">, </w:t>
      </w:r>
      <w:r w:rsidRPr="007617B0">
        <w:rPr>
          <w:rFonts w:ascii="Aptos" w:eastAsia="Times New Roman" w:hAnsi="Aptos"/>
        </w:rPr>
        <w:t>OAT considers this a material breach and reserves the right to report this to the Government Procurement Review Unit</w:t>
      </w:r>
      <w:r w:rsidR="0041069F">
        <w:rPr>
          <w:rFonts w:ascii="Aptos" w:eastAsia="Times New Roman" w:hAnsi="Aptos"/>
        </w:rPr>
        <w:t xml:space="preserve"> </w:t>
      </w:r>
      <w:r w:rsidR="007E0C6E">
        <w:rPr>
          <w:rFonts w:ascii="Aptos" w:eastAsia="Times New Roman" w:hAnsi="Aptos"/>
        </w:rPr>
        <w:t xml:space="preserve">and/or utilise </w:t>
      </w:r>
      <w:r w:rsidR="0041069F">
        <w:rPr>
          <w:rFonts w:ascii="Aptos" w:eastAsia="Times New Roman" w:hAnsi="Aptos"/>
        </w:rPr>
        <w:t xml:space="preserve">the </w:t>
      </w:r>
      <w:r w:rsidR="00FE5F0D">
        <w:rPr>
          <w:rFonts w:ascii="Aptos" w:eastAsia="Times New Roman" w:hAnsi="Aptos"/>
        </w:rPr>
        <w:t xml:space="preserve">applicable </w:t>
      </w:r>
      <w:r w:rsidR="0041069F">
        <w:rPr>
          <w:rFonts w:ascii="Aptos" w:eastAsia="Times New Roman" w:hAnsi="Aptos"/>
        </w:rPr>
        <w:t xml:space="preserve">remedies </w:t>
      </w:r>
      <w:r w:rsidR="00FE5F0D">
        <w:rPr>
          <w:rFonts w:ascii="Aptos" w:eastAsia="Times New Roman" w:hAnsi="Aptos"/>
        </w:rPr>
        <w:t xml:space="preserve">stated in </w:t>
      </w:r>
      <w:r w:rsidR="00D14277">
        <w:rPr>
          <w:rFonts w:ascii="Aptos" w:eastAsia="Times New Roman" w:hAnsi="Aptos"/>
        </w:rPr>
        <w:t xml:space="preserve">the terms and conditions relating to a </w:t>
      </w:r>
      <w:r w:rsidR="00094072">
        <w:rPr>
          <w:rFonts w:ascii="Aptos" w:eastAsia="Times New Roman" w:hAnsi="Aptos"/>
        </w:rPr>
        <w:t>m</w:t>
      </w:r>
      <w:r w:rsidR="00D14277">
        <w:rPr>
          <w:rFonts w:ascii="Aptos" w:eastAsia="Times New Roman" w:hAnsi="Aptos"/>
        </w:rPr>
        <w:t xml:space="preserve">aterial </w:t>
      </w:r>
      <w:r w:rsidR="00094072">
        <w:rPr>
          <w:rFonts w:ascii="Aptos" w:eastAsia="Times New Roman" w:hAnsi="Aptos"/>
        </w:rPr>
        <w:t>b</w:t>
      </w:r>
      <w:r w:rsidR="00D14277">
        <w:rPr>
          <w:rFonts w:ascii="Aptos" w:eastAsia="Times New Roman" w:hAnsi="Aptos"/>
        </w:rPr>
        <w:t>reach</w:t>
      </w:r>
      <w:r w:rsidR="00446F37">
        <w:rPr>
          <w:rFonts w:ascii="Aptos" w:eastAsia="Times New Roman" w:hAnsi="Aptos"/>
        </w:rPr>
        <w:t xml:space="preserve"> under the applicable set of terms and conditions</w:t>
      </w:r>
      <w:r w:rsidR="00833D00">
        <w:rPr>
          <w:rFonts w:ascii="Aptos" w:eastAsia="Times New Roman" w:hAnsi="Aptos"/>
        </w:rPr>
        <w:t>.</w:t>
      </w:r>
    </w:p>
    <w:p w14:paraId="48B1B6CD" w14:textId="77777777" w:rsidR="001C030D" w:rsidRPr="007617B0" w:rsidRDefault="001C030D" w:rsidP="006971C3">
      <w:pPr>
        <w:pStyle w:val="ListParagraph"/>
        <w:spacing w:after="0" w:line="240" w:lineRule="auto"/>
        <w:ind w:left="1440"/>
        <w:contextualSpacing w:val="0"/>
        <w:rPr>
          <w:rFonts w:ascii="Aptos" w:eastAsia="Times New Roman" w:hAnsi="Aptos"/>
        </w:rPr>
      </w:pPr>
    </w:p>
    <w:p w14:paraId="4BAD4129" w14:textId="054637D7" w:rsidR="001C030D" w:rsidRPr="007617B0" w:rsidRDefault="00FE1335" w:rsidP="00FE1335">
      <w:pPr>
        <w:pStyle w:val="ListParagraph"/>
        <w:spacing w:after="0" w:line="240" w:lineRule="auto"/>
        <w:ind w:left="1440"/>
        <w:contextualSpacing w:val="0"/>
        <w:rPr>
          <w:rFonts w:ascii="Aptos" w:hAnsi="Aptos"/>
        </w:rPr>
      </w:pPr>
      <w:r>
        <w:rPr>
          <w:rFonts w:ascii="Aptos" w:eastAsia="Times New Roman" w:hAnsi="Aptos"/>
        </w:rPr>
        <w:t xml:space="preserve">Furthermore, </w:t>
      </w:r>
      <w:r w:rsidR="001C030D" w:rsidRPr="007617B0">
        <w:rPr>
          <w:rFonts w:ascii="Aptos" w:eastAsia="Times New Roman" w:hAnsi="Aptos"/>
        </w:rPr>
        <w:t>OAT reserve</w:t>
      </w:r>
      <w:r>
        <w:rPr>
          <w:rFonts w:ascii="Aptos" w:eastAsia="Times New Roman" w:hAnsi="Aptos"/>
        </w:rPr>
        <w:t>s</w:t>
      </w:r>
      <w:r w:rsidR="001C030D" w:rsidRPr="007617B0">
        <w:rPr>
          <w:rFonts w:ascii="Aptos" w:eastAsia="Times New Roman" w:hAnsi="Aptos"/>
        </w:rPr>
        <w:t xml:space="preserve"> the right to consider awarding the </w:t>
      </w:r>
      <w:r w:rsidR="006971C3" w:rsidRPr="007617B0">
        <w:rPr>
          <w:rFonts w:ascii="Aptos" w:eastAsia="Times New Roman" w:hAnsi="Aptos"/>
        </w:rPr>
        <w:t>C</w:t>
      </w:r>
      <w:r w:rsidR="001C030D" w:rsidRPr="007617B0">
        <w:rPr>
          <w:rFonts w:ascii="Aptos" w:eastAsia="Times New Roman" w:hAnsi="Aptos"/>
        </w:rPr>
        <w:t xml:space="preserve">ontract to the next ranked </w:t>
      </w:r>
      <w:r w:rsidR="006971C3" w:rsidRPr="007617B0">
        <w:rPr>
          <w:rFonts w:ascii="Aptos" w:eastAsia="Times New Roman" w:hAnsi="Aptos"/>
        </w:rPr>
        <w:t>Tenderer</w:t>
      </w:r>
      <w:r w:rsidR="001C030D" w:rsidRPr="007617B0">
        <w:rPr>
          <w:rFonts w:ascii="Aptos" w:eastAsia="Times New Roman" w:hAnsi="Aptos"/>
        </w:rPr>
        <w:t xml:space="preserve"> if the successful </w:t>
      </w:r>
      <w:r w:rsidR="006971C3" w:rsidRPr="007617B0">
        <w:rPr>
          <w:rFonts w:ascii="Aptos" w:eastAsia="Times New Roman" w:hAnsi="Aptos"/>
        </w:rPr>
        <w:t xml:space="preserve">Tenderer </w:t>
      </w:r>
      <w:r w:rsidR="001C030D" w:rsidRPr="007617B0">
        <w:rPr>
          <w:rFonts w:ascii="Aptos" w:eastAsia="Times New Roman" w:hAnsi="Aptos"/>
        </w:rPr>
        <w:t xml:space="preserve">withdraws </w:t>
      </w:r>
      <w:r w:rsidR="005B556B">
        <w:rPr>
          <w:rFonts w:ascii="Aptos" w:eastAsia="Times New Roman" w:hAnsi="Aptos"/>
        </w:rPr>
        <w:t xml:space="preserve">after </w:t>
      </w:r>
      <w:r w:rsidR="00473051">
        <w:rPr>
          <w:rFonts w:ascii="Aptos" w:eastAsia="Times New Roman" w:hAnsi="Aptos"/>
        </w:rPr>
        <w:t>communicating their formal acceptance</w:t>
      </w:r>
      <w:r>
        <w:rPr>
          <w:rFonts w:ascii="Aptos" w:eastAsia="Times New Roman" w:hAnsi="Aptos"/>
        </w:rPr>
        <w:t>.</w:t>
      </w:r>
    </w:p>
    <w:p w14:paraId="1195711F" w14:textId="77777777" w:rsidR="006971C3" w:rsidRPr="007617B0" w:rsidRDefault="006971C3" w:rsidP="006971C3">
      <w:pPr>
        <w:pStyle w:val="ListParagraph"/>
        <w:spacing w:after="0" w:line="240" w:lineRule="auto"/>
        <w:ind w:left="1440"/>
        <w:contextualSpacing w:val="0"/>
        <w:rPr>
          <w:rFonts w:ascii="Aptos" w:hAnsi="Aptos"/>
        </w:rPr>
      </w:pPr>
    </w:p>
    <w:p w14:paraId="4A83ACE8" w14:textId="4604E8F3" w:rsidR="00710321" w:rsidRPr="007617B0" w:rsidRDefault="00710321" w:rsidP="0043347C">
      <w:pPr>
        <w:pStyle w:val="Heading2"/>
        <w:numPr>
          <w:ilvl w:val="0"/>
          <w:numId w:val="51"/>
        </w:numPr>
        <w:rPr>
          <w:rFonts w:ascii="Aptos" w:hAnsi="Aptos" w:cs="Arial"/>
        </w:rPr>
      </w:pPr>
      <w:bookmarkStart w:id="157" w:name="_Toc208856249"/>
      <w:bookmarkStart w:id="158" w:name="_Toc208864881"/>
      <w:r w:rsidRPr="007617B0">
        <w:rPr>
          <w:rFonts w:ascii="Aptos" w:hAnsi="Aptos" w:cs="Arial"/>
        </w:rPr>
        <w:t xml:space="preserve">Modifying your </w:t>
      </w:r>
      <w:r w:rsidR="008202BE" w:rsidRPr="007617B0">
        <w:rPr>
          <w:rFonts w:ascii="Aptos" w:hAnsi="Aptos" w:cs="Arial"/>
        </w:rPr>
        <w:t>tender</w:t>
      </w:r>
      <w:bookmarkEnd w:id="157"/>
      <w:bookmarkEnd w:id="158"/>
    </w:p>
    <w:p w14:paraId="388D2AD4" w14:textId="5EE53E7F" w:rsidR="00710321" w:rsidRPr="007617B0" w:rsidRDefault="00B8338D" w:rsidP="004347A7">
      <w:pPr>
        <w:pStyle w:val="Parasubclause1"/>
        <w:numPr>
          <w:ilvl w:val="0"/>
          <w:numId w:val="45"/>
        </w:numPr>
        <w:rPr>
          <w:rFonts w:ascii="Aptos" w:hAnsi="Aptos"/>
        </w:rPr>
      </w:pPr>
      <w:r w:rsidRPr="007617B0">
        <w:rPr>
          <w:rFonts w:ascii="Aptos" w:hAnsi="Aptos"/>
        </w:rPr>
        <w:t>Tenderers</w:t>
      </w:r>
      <w:r w:rsidR="00710321" w:rsidRPr="007617B0">
        <w:rPr>
          <w:rFonts w:ascii="Aptos" w:hAnsi="Aptos"/>
        </w:rPr>
        <w:t xml:space="preserve"> may modify their submitted </w:t>
      </w:r>
      <w:r w:rsidR="003C2FD5">
        <w:rPr>
          <w:rFonts w:ascii="Aptos" w:hAnsi="Aptos"/>
        </w:rPr>
        <w:t xml:space="preserve">tender </w:t>
      </w:r>
      <w:r w:rsidR="00710321" w:rsidRPr="007617B0">
        <w:rPr>
          <w:rFonts w:ascii="Aptos" w:hAnsi="Aptos"/>
        </w:rPr>
        <w:t>prior to the submission deadline</w:t>
      </w:r>
      <w:r w:rsidR="003C2FD5">
        <w:rPr>
          <w:rFonts w:ascii="Aptos" w:hAnsi="Aptos"/>
        </w:rPr>
        <w:t xml:space="preserve"> via the Tendering Portal</w:t>
      </w:r>
      <w:r w:rsidR="00710321" w:rsidRPr="007617B0">
        <w:rPr>
          <w:rFonts w:ascii="Aptos" w:hAnsi="Aptos"/>
        </w:rPr>
        <w:t xml:space="preserve">. </w:t>
      </w:r>
      <w:r w:rsidRPr="007617B0">
        <w:rPr>
          <w:rFonts w:ascii="Aptos" w:hAnsi="Aptos"/>
        </w:rPr>
        <w:t>OAT</w:t>
      </w:r>
      <w:r w:rsidR="00710321" w:rsidRPr="007617B0">
        <w:rPr>
          <w:rFonts w:ascii="Aptos" w:hAnsi="Aptos"/>
        </w:rPr>
        <w:t xml:space="preserve"> will not open </w:t>
      </w:r>
      <w:r w:rsidR="00FA7A19">
        <w:rPr>
          <w:rFonts w:ascii="Aptos" w:hAnsi="Aptos"/>
        </w:rPr>
        <w:t xml:space="preserve">tenders </w:t>
      </w:r>
      <w:r w:rsidR="00710321" w:rsidRPr="007617B0">
        <w:rPr>
          <w:rFonts w:ascii="Aptos" w:hAnsi="Aptos"/>
        </w:rPr>
        <w:t xml:space="preserve">until after the submission deadline set out in the </w:t>
      </w:r>
      <w:r w:rsidR="00FA7A19">
        <w:rPr>
          <w:rFonts w:ascii="Aptos" w:hAnsi="Aptos"/>
        </w:rPr>
        <w:t>Tendering Portal</w:t>
      </w:r>
      <w:r w:rsidR="00710321" w:rsidRPr="007617B0">
        <w:rPr>
          <w:rFonts w:ascii="Aptos" w:hAnsi="Aptos"/>
        </w:rPr>
        <w:t>.</w:t>
      </w:r>
    </w:p>
    <w:p w14:paraId="1AB0EC19" w14:textId="6637F42C" w:rsidR="00710321" w:rsidRPr="007617B0" w:rsidRDefault="00B8338D" w:rsidP="0043347C">
      <w:pPr>
        <w:pStyle w:val="Heading2"/>
        <w:numPr>
          <w:ilvl w:val="0"/>
          <w:numId w:val="51"/>
        </w:numPr>
        <w:rPr>
          <w:rFonts w:ascii="Aptos" w:hAnsi="Aptos" w:cs="Arial"/>
        </w:rPr>
      </w:pPr>
      <w:bookmarkStart w:id="159" w:name="_Toc208856250"/>
      <w:bookmarkStart w:id="160" w:name="_Toc208864882"/>
      <w:r w:rsidRPr="007617B0">
        <w:rPr>
          <w:rFonts w:ascii="Aptos" w:hAnsi="Aptos" w:cs="Arial"/>
        </w:rPr>
        <w:t>Tenderer</w:t>
      </w:r>
      <w:r w:rsidR="00710321" w:rsidRPr="007617B0">
        <w:rPr>
          <w:rFonts w:ascii="Aptos" w:hAnsi="Aptos" w:cs="Arial"/>
        </w:rPr>
        <w:t xml:space="preserve"> eligibility</w:t>
      </w:r>
      <w:bookmarkEnd w:id="159"/>
      <w:bookmarkEnd w:id="160"/>
    </w:p>
    <w:p w14:paraId="105E2FD6" w14:textId="2A5049BA" w:rsidR="00710321" w:rsidRPr="007617B0" w:rsidRDefault="00B8338D" w:rsidP="004347A7">
      <w:pPr>
        <w:pStyle w:val="Parasubclause1"/>
        <w:numPr>
          <w:ilvl w:val="0"/>
          <w:numId w:val="45"/>
        </w:numPr>
        <w:rPr>
          <w:rFonts w:ascii="Aptos" w:hAnsi="Aptos"/>
        </w:rPr>
      </w:pPr>
      <w:r w:rsidRPr="007617B0">
        <w:rPr>
          <w:rFonts w:ascii="Aptos" w:hAnsi="Aptos"/>
        </w:rPr>
        <w:t xml:space="preserve">Tenderers </w:t>
      </w:r>
      <w:r w:rsidR="00710321" w:rsidRPr="007617B0">
        <w:rPr>
          <w:rFonts w:ascii="Aptos" w:hAnsi="Aptos"/>
        </w:rPr>
        <w:t>are reminded that the eligibility requirements in this document, Tender Notice and all other associated tender documents</w:t>
      </w:r>
      <w:r w:rsidR="00D51F91">
        <w:rPr>
          <w:rFonts w:ascii="Aptos" w:hAnsi="Aptos"/>
        </w:rPr>
        <w:t>,</w:t>
      </w:r>
      <w:r w:rsidR="00710321" w:rsidRPr="007617B0">
        <w:rPr>
          <w:rFonts w:ascii="Aptos" w:hAnsi="Aptos"/>
        </w:rPr>
        <w:t xml:space="preserve"> </w:t>
      </w:r>
      <w:proofErr w:type="gramStart"/>
      <w:r w:rsidR="00710321" w:rsidRPr="007617B0">
        <w:rPr>
          <w:rFonts w:ascii="Aptos" w:hAnsi="Aptos"/>
        </w:rPr>
        <w:t xml:space="preserve">apply to the </w:t>
      </w:r>
      <w:r w:rsidRPr="007617B0">
        <w:rPr>
          <w:rFonts w:ascii="Aptos" w:hAnsi="Aptos"/>
        </w:rPr>
        <w:t>p</w:t>
      </w:r>
      <w:r w:rsidR="00710321" w:rsidRPr="007617B0">
        <w:rPr>
          <w:rFonts w:ascii="Aptos" w:hAnsi="Aptos"/>
        </w:rPr>
        <w:t>rocurement at all times</w:t>
      </w:r>
      <w:proofErr w:type="gramEnd"/>
      <w:r w:rsidR="00710321" w:rsidRPr="007617B0">
        <w:rPr>
          <w:rFonts w:ascii="Aptos" w:hAnsi="Aptos"/>
        </w:rPr>
        <w:t>.</w:t>
      </w:r>
    </w:p>
    <w:p w14:paraId="085DD36D" w14:textId="62E5747F" w:rsidR="00710321" w:rsidRPr="007617B0" w:rsidRDefault="00B8338D" w:rsidP="004347A7">
      <w:pPr>
        <w:pStyle w:val="Parasubclause1"/>
        <w:numPr>
          <w:ilvl w:val="0"/>
          <w:numId w:val="45"/>
        </w:numPr>
        <w:rPr>
          <w:rFonts w:ascii="Aptos" w:hAnsi="Aptos"/>
        </w:rPr>
      </w:pPr>
      <w:r w:rsidRPr="007617B0">
        <w:rPr>
          <w:rFonts w:ascii="Aptos" w:hAnsi="Aptos"/>
        </w:rPr>
        <w:t>OAT</w:t>
      </w:r>
      <w:r w:rsidR="00710321" w:rsidRPr="007617B0">
        <w:rPr>
          <w:rFonts w:ascii="Aptos" w:hAnsi="Aptos"/>
        </w:rPr>
        <w:t xml:space="preserve"> reserves the right to require any </w:t>
      </w:r>
      <w:r w:rsidRPr="007617B0">
        <w:rPr>
          <w:rFonts w:ascii="Aptos" w:hAnsi="Aptos"/>
        </w:rPr>
        <w:t xml:space="preserve">Tenderer </w:t>
      </w:r>
      <w:r w:rsidR="00710321" w:rsidRPr="007617B0">
        <w:rPr>
          <w:rFonts w:ascii="Aptos" w:hAnsi="Aptos"/>
        </w:rPr>
        <w:t xml:space="preserve">to provide such further information as </w:t>
      </w:r>
      <w:r w:rsidR="00BD1B7B">
        <w:rPr>
          <w:rFonts w:ascii="Aptos" w:hAnsi="Aptos"/>
        </w:rPr>
        <w:t xml:space="preserve">evidenced in </w:t>
      </w:r>
      <w:r w:rsidR="004410BD">
        <w:rPr>
          <w:rFonts w:ascii="Aptos" w:hAnsi="Aptos"/>
        </w:rPr>
        <w:t xml:space="preserve">the tender submission or as </w:t>
      </w:r>
      <w:r w:rsidRPr="007617B0">
        <w:rPr>
          <w:rFonts w:ascii="Aptos" w:hAnsi="Aptos"/>
        </w:rPr>
        <w:t>OAT</w:t>
      </w:r>
      <w:r w:rsidR="00710321" w:rsidRPr="007617B0">
        <w:rPr>
          <w:rFonts w:ascii="Aptos" w:hAnsi="Aptos"/>
        </w:rPr>
        <w:t xml:space="preserve"> may require (and for the avoidance of doubt, </w:t>
      </w:r>
      <w:r w:rsidRPr="007617B0">
        <w:rPr>
          <w:rFonts w:ascii="Aptos" w:hAnsi="Aptos"/>
        </w:rPr>
        <w:t xml:space="preserve">OAT </w:t>
      </w:r>
      <w:r w:rsidR="00710321" w:rsidRPr="007617B0">
        <w:rPr>
          <w:rFonts w:ascii="Aptos" w:hAnsi="Aptos"/>
        </w:rPr>
        <w:t xml:space="preserve">may make multiple requests) as to any issue addressed in the </w:t>
      </w:r>
      <w:r w:rsidR="00C20E55" w:rsidRPr="007617B0">
        <w:rPr>
          <w:rFonts w:ascii="Aptos" w:hAnsi="Aptos"/>
        </w:rPr>
        <w:t xml:space="preserve">conditions </w:t>
      </w:r>
      <w:r w:rsidR="00C20E55" w:rsidRPr="007617B0">
        <w:rPr>
          <w:rFonts w:ascii="Aptos" w:hAnsi="Aptos"/>
        </w:rPr>
        <w:lastRenderedPageBreak/>
        <w:t>of participation</w:t>
      </w:r>
      <w:r w:rsidR="009E215F">
        <w:rPr>
          <w:rFonts w:ascii="Aptos" w:hAnsi="Aptos"/>
        </w:rPr>
        <w:t xml:space="preserve"> (</w:t>
      </w:r>
      <w:r w:rsidR="006549D8">
        <w:rPr>
          <w:rFonts w:ascii="Aptos" w:hAnsi="Aptos"/>
        </w:rPr>
        <w:t xml:space="preserve">with particular reference to </w:t>
      </w:r>
      <w:r w:rsidR="00630E66">
        <w:rPr>
          <w:rFonts w:ascii="Aptos" w:hAnsi="Aptos"/>
        </w:rPr>
        <w:t>Appendix A – Procurement Specific Questionnaire)</w:t>
      </w:r>
      <w:r w:rsidR="00710321" w:rsidRPr="007617B0">
        <w:rPr>
          <w:rFonts w:ascii="Aptos" w:hAnsi="Aptos"/>
        </w:rPr>
        <w:t xml:space="preserve">, including, but not limited to, the economic and financial standing of </w:t>
      </w:r>
      <w:r w:rsidR="00EC6226" w:rsidRPr="007617B0">
        <w:rPr>
          <w:rFonts w:ascii="Aptos" w:hAnsi="Aptos"/>
        </w:rPr>
        <w:t>the Tenderer</w:t>
      </w:r>
      <w:r w:rsidR="00710321" w:rsidRPr="007617B0">
        <w:rPr>
          <w:rFonts w:ascii="Aptos" w:hAnsi="Aptos"/>
        </w:rPr>
        <w:t xml:space="preserve"> at any stage of the </w:t>
      </w:r>
      <w:r w:rsidRPr="007617B0">
        <w:rPr>
          <w:rFonts w:ascii="Aptos" w:hAnsi="Aptos"/>
        </w:rPr>
        <w:t>p</w:t>
      </w:r>
      <w:r w:rsidR="00710321" w:rsidRPr="007617B0">
        <w:rPr>
          <w:rFonts w:ascii="Aptos" w:hAnsi="Aptos"/>
        </w:rPr>
        <w:t>rocurement</w:t>
      </w:r>
      <w:r w:rsidR="00267110">
        <w:rPr>
          <w:rFonts w:ascii="Aptos" w:hAnsi="Aptos"/>
        </w:rPr>
        <w:t xml:space="preserve">, </w:t>
      </w:r>
      <w:r w:rsidR="00710321" w:rsidRPr="007617B0">
        <w:rPr>
          <w:rFonts w:ascii="Aptos" w:hAnsi="Aptos"/>
        </w:rPr>
        <w:t xml:space="preserve">prior to the notification of the award decision and/or the award of the </w:t>
      </w:r>
      <w:r w:rsidRPr="007617B0">
        <w:rPr>
          <w:rFonts w:ascii="Aptos" w:hAnsi="Aptos"/>
        </w:rPr>
        <w:t>C</w:t>
      </w:r>
      <w:r w:rsidR="00710321" w:rsidRPr="007617B0">
        <w:rPr>
          <w:rFonts w:ascii="Aptos" w:hAnsi="Aptos"/>
        </w:rPr>
        <w:t>ontract</w:t>
      </w:r>
      <w:r w:rsidR="00267110">
        <w:rPr>
          <w:rFonts w:ascii="Aptos" w:hAnsi="Aptos"/>
        </w:rPr>
        <w:t xml:space="preserve"> or at any stage during the life of the </w:t>
      </w:r>
      <w:r w:rsidR="004E5D47">
        <w:rPr>
          <w:rFonts w:ascii="Aptos" w:hAnsi="Aptos"/>
        </w:rPr>
        <w:t>Framework or Call-Off contract, as applicable</w:t>
      </w:r>
      <w:r w:rsidR="00710321" w:rsidRPr="007617B0">
        <w:rPr>
          <w:rFonts w:ascii="Aptos" w:hAnsi="Aptos"/>
        </w:rPr>
        <w:t>.</w:t>
      </w:r>
    </w:p>
    <w:p w14:paraId="1284B64C" w14:textId="56E33066" w:rsidR="00710321" w:rsidRPr="00513B71" w:rsidRDefault="00B8338D" w:rsidP="004347A7">
      <w:pPr>
        <w:pStyle w:val="Parasubclause1"/>
        <w:numPr>
          <w:ilvl w:val="0"/>
          <w:numId w:val="45"/>
        </w:numPr>
        <w:rPr>
          <w:rFonts w:ascii="Aptos" w:hAnsi="Aptos"/>
        </w:rPr>
      </w:pPr>
      <w:r w:rsidRPr="007617B0">
        <w:rPr>
          <w:rFonts w:ascii="Aptos" w:hAnsi="Aptos"/>
        </w:rPr>
        <w:t>OAT</w:t>
      </w:r>
      <w:r w:rsidR="00710321" w:rsidRPr="007617B0">
        <w:rPr>
          <w:rFonts w:ascii="Aptos" w:hAnsi="Aptos"/>
        </w:rPr>
        <w:t xml:space="preserve"> must </w:t>
      </w:r>
      <w:r w:rsidR="00710321" w:rsidRPr="00283FF5">
        <w:rPr>
          <w:rFonts w:ascii="Aptos" w:hAnsi="Aptos"/>
        </w:rPr>
        <w:t xml:space="preserve">be </w:t>
      </w:r>
      <w:r w:rsidR="00283FF5" w:rsidRPr="00283FF5">
        <w:rPr>
          <w:rFonts w:ascii="Aptos" w:hAnsi="Aptos"/>
        </w:rPr>
        <w:t xml:space="preserve">formally </w:t>
      </w:r>
      <w:r w:rsidR="00710321" w:rsidRPr="00283FF5">
        <w:rPr>
          <w:rFonts w:ascii="Aptos" w:hAnsi="Aptos"/>
        </w:rPr>
        <w:t>notified</w:t>
      </w:r>
      <w:r w:rsidR="00283FF5" w:rsidRPr="00283FF5">
        <w:rPr>
          <w:rFonts w:ascii="Aptos" w:hAnsi="Aptos"/>
        </w:rPr>
        <w:t xml:space="preserve"> </w:t>
      </w:r>
      <w:r w:rsidR="00710321" w:rsidRPr="00283FF5">
        <w:rPr>
          <w:rFonts w:ascii="Aptos" w:hAnsi="Aptos"/>
        </w:rPr>
        <w:t>via the Portal p</w:t>
      </w:r>
      <w:r w:rsidR="00710321" w:rsidRPr="007617B0">
        <w:rPr>
          <w:rFonts w:ascii="Aptos" w:hAnsi="Aptos"/>
        </w:rPr>
        <w:t xml:space="preserve">romptly of any changes in the information that </w:t>
      </w:r>
      <w:r w:rsidRPr="007617B0">
        <w:rPr>
          <w:rFonts w:ascii="Aptos" w:hAnsi="Aptos"/>
        </w:rPr>
        <w:t>the Tenderer</w:t>
      </w:r>
      <w:r w:rsidR="00710321" w:rsidRPr="007617B0">
        <w:rPr>
          <w:rFonts w:ascii="Aptos" w:hAnsi="Aptos"/>
        </w:rPr>
        <w:t xml:space="preserve"> has provided in its response to this </w:t>
      </w:r>
      <w:r w:rsidRPr="007617B0">
        <w:rPr>
          <w:rFonts w:ascii="Aptos" w:hAnsi="Aptos"/>
        </w:rPr>
        <w:t>p</w:t>
      </w:r>
      <w:r w:rsidR="00710321" w:rsidRPr="007617B0">
        <w:rPr>
          <w:rFonts w:ascii="Aptos" w:hAnsi="Aptos"/>
        </w:rPr>
        <w:t xml:space="preserve">rocurement (including but not limited to arrangements in relation to any </w:t>
      </w:r>
      <w:r w:rsidRPr="007617B0">
        <w:rPr>
          <w:rFonts w:ascii="Aptos" w:hAnsi="Aptos"/>
        </w:rPr>
        <w:t>a</w:t>
      </w:r>
      <w:r w:rsidR="00710321" w:rsidRPr="007617B0">
        <w:rPr>
          <w:rFonts w:ascii="Aptos" w:hAnsi="Aptos"/>
        </w:rPr>
        <w:t xml:space="preserve">ssociated </w:t>
      </w:r>
      <w:r w:rsidRPr="007617B0">
        <w:rPr>
          <w:rFonts w:ascii="Aptos" w:hAnsi="Aptos"/>
        </w:rPr>
        <w:t>s</w:t>
      </w:r>
      <w:r w:rsidR="00710321" w:rsidRPr="007617B0">
        <w:rPr>
          <w:rFonts w:ascii="Aptos" w:hAnsi="Aptos"/>
        </w:rPr>
        <w:t xml:space="preserve">uppliers) at any point before the entry into the Contract so that </w:t>
      </w:r>
      <w:r w:rsidRPr="007617B0">
        <w:rPr>
          <w:rFonts w:ascii="Aptos" w:hAnsi="Aptos"/>
        </w:rPr>
        <w:t>OAT</w:t>
      </w:r>
      <w:r w:rsidR="00710321" w:rsidRPr="007617B0">
        <w:rPr>
          <w:rFonts w:ascii="Aptos" w:hAnsi="Aptos"/>
        </w:rPr>
        <w:t xml:space="preserve"> may assess whether </w:t>
      </w:r>
      <w:r w:rsidRPr="007617B0">
        <w:rPr>
          <w:rFonts w:ascii="Aptos" w:hAnsi="Aptos"/>
        </w:rPr>
        <w:t>the Tenderer</w:t>
      </w:r>
      <w:r w:rsidR="00710321" w:rsidRPr="007617B0">
        <w:rPr>
          <w:rFonts w:ascii="Aptos" w:hAnsi="Aptos"/>
        </w:rPr>
        <w:t xml:space="preserve"> continues to satisfy the relevant conditions of participation and should continue to qualify for participation in the </w:t>
      </w:r>
      <w:r w:rsidRPr="007617B0">
        <w:rPr>
          <w:rFonts w:ascii="Aptos" w:hAnsi="Aptos"/>
        </w:rPr>
        <w:t>p</w:t>
      </w:r>
      <w:r w:rsidR="00710321" w:rsidRPr="007617B0">
        <w:rPr>
          <w:rFonts w:ascii="Aptos" w:hAnsi="Aptos"/>
        </w:rPr>
        <w:t xml:space="preserve">rocurement. For the avoidance of doubt, </w:t>
      </w:r>
      <w:r w:rsidRPr="007617B0">
        <w:rPr>
          <w:rFonts w:ascii="Aptos" w:hAnsi="Aptos"/>
        </w:rPr>
        <w:t xml:space="preserve">OAT </w:t>
      </w:r>
      <w:r w:rsidR="00710321" w:rsidRPr="007617B0">
        <w:rPr>
          <w:rFonts w:ascii="Aptos" w:hAnsi="Aptos"/>
        </w:rPr>
        <w:t xml:space="preserve">reserves the right to take such action as it deems appropriate in the light of its assessment of the updated information, including (but not limited to) excluding </w:t>
      </w:r>
      <w:r w:rsidRPr="007617B0">
        <w:rPr>
          <w:rFonts w:ascii="Aptos" w:hAnsi="Aptos"/>
        </w:rPr>
        <w:t xml:space="preserve">the </w:t>
      </w:r>
      <w:r w:rsidRPr="00513B71">
        <w:rPr>
          <w:rFonts w:ascii="Aptos" w:hAnsi="Aptos"/>
        </w:rPr>
        <w:t>Tenderer</w:t>
      </w:r>
      <w:r w:rsidR="00710321" w:rsidRPr="00513B71">
        <w:rPr>
          <w:rFonts w:ascii="Aptos" w:hAnsi="Aptos"/>
        </w:rPr>
        <w:t xml:space="preserve"> concerned from the </w:t>
      </w:r>
      <w:r w:rsidRPr="00513B71">
        <w:rPr>
          <w:rFonts w:ascii="Aptos" w:hAnsi="Aptos"/>
        </w:rPr>
        <w:t>p</w:t>
      </w:r>
      <w:r w:rsidR="00710321" w:rsidRPr="00513B71">
        <w:rPr>
          <w:rFonts w:ascii="Aptos" w:hAnsi="Aptos"/>
        </w:rPr>
        <w:t>rocurement</w:t>
      </w:r>
      <w:r w:rsidR="00C67CB5" w:rsidRPr="00513B71">
        <w:rPr>
          <w:rFonts w:ascii="Aptos" w:hAnsi="Aptos"/>
        </w:rPr>
        <w:t xml:space="preserve"> or </w:t>
      </w:r>
      <w:r w:rsidR="008F0286" w:rsidRPr="00513B71">
        <w:rPr>
          <w:rFonts w:ascii="Aptos" w:hAnsi="Aptos"/>
        </w:rPr>
        <w:t>utilising the applicable terms and conditions</w:t>
      </w:r>
      <w:r w:rsidR="001C1024" w:rsidRPr="00513B71">
        <w:rPr>
          <w:rFonts w:ascii="Aptos" w:hAnsi="Aptos"/>
        </w:rPr>
        <w:t xml:space="preserve"> should the change be considered material</w:t>
      </w:r>
      <w:r w:rsidR="001459D1" w:rsidRPr="00513B71">
        <w:rPr>
          <w:rFonts w:ascii="Aptos" w:hAnsi="Aptos"/>
        </w:rPr>
        <w:t xml:space="preserve">, if </w:t>
      </w:r>
      <w:r w:rsidR="001D3A85" w:rsidRPr="00513B71">
        <w:rPr>
          <w:rFonts w:ascii="Aptos" w:hAnsi="Aptos"/>
        </w:rPr>
        <w:t xml:space="preserve">a contract </w:t>
      </w:r>
      <w:r w:rsidR="001459D1" w:rsidRPr="00513B71">
        <w:rPr>
          <w:rFonts w:ascii="Aptos" w:hAnsi="Aptos"/>
        </w:rPr>
        <w:t xml:space="preserve">has </w:t>
      </w:r>
      <w:r w:rsidR="001D3A85" w:rsidRPr="00513B71">
        <w:rPr>
          <w:rFonts w:ascii="Aptos" w:hAnsi="Aptos"/>
        </w:rPr>
        <w:t>already be</w:t>
      </w:r>
      <w:r w:rsidR="001459D1" w:rsidRPr="00513B71">
        <w:rPr>
          <w:rFonts w:ascii="Aptos" w:hAnsi="Aptos"/>
        </w:rPr>
        <w:t>en</w:t>
      </w:r>
      <w:r w:rsidR="001D3A85" w:rsidRPr="00513B71">
        <w:rPr>
          <w:rFonts w:ascii="Aptos" w:hAnsi="Aptos"/>
        </w:rPr>
        <w:t xml:space="preserve"> formed.</w:t>
      </w:r>
    </w:p>
    <w:p w14:paraId="08522FD8" w14:textId="03532663" w:rsidR="00710321" w:rsidRPr="00513B71" w:rsidRDefault="00EC6226" w:rsidP="0043347C">
      <w:pPr>
        <w:pStyle w:val="Heading2"/>
        <w:numPr>
          <w:ilvl w:val="0"/>
          <w:numId w:val="51"/>
        </w:numPr>
        <w:rPr>
          <w:rFonts w:ascii="Aptos" w:hAnsi="Aptos" w:cs="Arial"/>
        </w:rPr>
      </w:pPr>
      <w:bookmarkStart w:id="161" w:name="_Toc208856251"/>
      <w:bookmarkStart w:id="162" w:name="_Toc208864883"/>
      <w:r w:rsidRPr="00513B71">
        <w:rPr>
          <w:rFonts w:ascii="Aptos" w:hAnsi="Aptos" w:cs="Arial"/>
        </w:rPr>
        <w:t>Tenderer</w:t>
      </w:r>
      <w:r w:rsidR="00710321" w:rsidRPr="00513B71">
        <w:rPr>
          <w:rFonts w:ascii="Aptos" w:hAnsi="Aptos" w:cs="Arial"/>
        </w:rPr>
        <w:t xml:space="preserve"> warranties</w:t>
      </w:r>
      <w:bookmarkEnd w:id="161"/>
      <w:bookmarkEnd w:id="162"/>
      <w:r w:rsidR="00710321" w:rsidRPr="00513B71">
        <w:rPr>
          <w:rFonts w:ascii="Aptos" w:hAnsi="Aptos" w:cs="Arial"/>
        </w:rPr>
        <w:t xml:space="preserve"> </w:t>
      </w:r>
    </w:p>
    <w:p w14:paraId="540227B7" w14:textId="7C4C6014" w:rsidR="00710321" w:rsidRPr="007617B0" w:rsidRDefault="00710321" w:rsidP="004347A7">
      <w:pPr>
        <w:pStyle w:val="Parasubclause1"/>
        <w:numPr>
          <w:ilvl w:val="0"/>
          <w:numId w:val="45"/>
        </w:numPr>
        <w:rPr>
          <w:rFonts w:ascii="Aptos" w:hAnsi="Aptos"/>
        </w:rPr>
      </w:pPr>
      <w:r w:rsidRPr="007617B0">
        <w:rPr>
          <w:rFonts w:ascii="Aptos" w:hAnsi="Aptos"/>
        </w:rPr>
        <w:t xml:space="preserve">In responding to this invitation, </w:t>
      </w:r>
      <w:r w:rsidR="00B8338D" w:rsidRPr="007617B0">
        <w:rPr>
          <w:rFonts w:ascii="Aptos" w:hAnsi="Aptos"/>
        </w:rPr>
        <w:t>the Tenderer</w:t>
      </w:r>
      <w:r w:rsidRPr="007617B0">
        <w:rPr>
          <w:rFonts w:ascii="Aptos" w:hAnsi="Aptos"/>
        </w:rPr>
        <w:t xml:space="preserve"> warrants, represents and undertakes to </w:t>
      </w:r>
      <w:r w:rsidR="00B8338D" w:rsidRPr="007617B0">
        <w:rPr>
          <w:rFonts w:ascii="Aptos" w:hAnsi="Aptos"/>
        </w:rPr>
        <w:t>OAT</w:t>
      </w:r>
      <w:r w:rsidRPr="007617B0">
        <w:rPr>
          <w:rFonts w:ascii="Aptos" w:hAnsi="Aptos"/>
        </w:rPr>
        <w:t xml:space="preserve"> that:</w:t>
      </w:r>
    </w:p>
    <w:p w14:paraId="71BA84CC" w14:textId="77777777" w:rsidR="00710321" w:rsidRPr="007617B0" w:rsidRDefault="00710321" w:rsidP="00C20E55">
      <w:pPr>
        <w:pStyle w:val="Parasubclause1"/>
        <w:ind w:left="2160" w:hanging="720"/>
        <w:rPr>
          <w:rFonts w:ascii="Aptos" w:hAnsi="Aptos"/>
        </w:rPr>
      </w:pPr>
      <w:r w:rsidRPr="007617B0">
        <w:rPr>
          <w:rFonts w:ascii="Aptos" w:hAnsi="Aptos"/>
        </w:rPr>
        <w:t>a.</w:t>
      </w:r>
      <w:r w:rsidRPr="007617B0">
        <w:rPr>
          <w:rFonts w:ascii="Aptos" w:hAnsi="Aptos"/>
        </w:rPr>
        <w:tab/>
        <w:t>it understands and has complied with the conditions set out in this document</w:t>
      </w:r>
    </w:p>
    <w:p w14:paraId="1B8586D7" w14:textId="66C46451" w:rsidR="00710321" w:rsidRPr="007617B0" w:rsidRDefault="00710321" w:rsidP="00C20E55">
      <w:pPr>
        <w:pStyle w:val="Parasubclause1"/>
        <w:ind w:left="2160" w:hanging="720"/>
        <w:rPr>
          <w:rFonts w:ascii="Aptos" w:hAnsi="Aptos"/>
        </w:rPr>
      </w:pPr>
      <w:r w:rsidRPr="007617B0">
        <w:rPr>
          <w:rFonts w:ascii="Aptos" w:hAnsi="Aptos"/>
        </w:rPr>
        <w:t>b.</w:t>
      </w:r>
      <w:r w:rsidRPr="007617B0">
        <w:rPr>
          <w:rFonts w:ascii="Aptos" w:hAnsi="Aptos"/>
        </w:rPr>
        <w:tab/>
        <w:t xml:space="preserve">all information, representations and other matters of fact communicated (whether in writing or otherwise) to </w:t>
      </w:r>
      <w:r w:rsidR="00B8338D" w:rsidRPr="007617B0">
        <w:rPr>
          <w:rFonts w:ascii="Aptos" w:hAnsi="Aptos"/>
        </w:rPr>
        <w:t>OAT</w:t>
      </w:r>
      <w:r w:rsidRPr="007617B0">
        <w:rPr>
          <w:rFonts w:ascii="Aptos" w:hAnsi="Aptos"/>
        </w:rPr>
        <w:t xml:space="preserve"> by </w:t>
      </w:r>
      <w:r w:rsidR="00B8338D" w:rsidRPr="007617B0">
        <w:rPr>
          <w:rFonts w:ascii="Aptos" w:hAnsi="Aptos"/>
        </w:rPr>
        <w:t>the Tenderer</w:t>
      </w:r>
      <w:r w:rsidRPr="007617B0">
        <w:rPr>
          <w:rFonts w:ascii="Aptos" w:hAnsi="Aptos"/>
        </w:rPr>
        <w:t xml:space="preserve">, its staff or agents in connection with or arising out of the </w:t>
      </w:r>
      <w:r w:rsidR="00B8338D" w:rsidRPr="007617B0">
        <w:rPr>
          <w:rFonts w:ascii="Aptos" w:hAnsi="Aptos"/>
        </w:rPr>
        <w:t>p</w:t>
      </w:r>
      <w:r w:rsidRPr="007617B0">
        <w:rPr>
          <w:rFonts w:ascii="Aptos" w:hAnsi="Aptos"/>
        </w:rPr>
        <w:t>rocurement are true, complete and accurate in all respects, both as at the date communicated and as at the date of the submission of the response to this document</w:t>
      </w:r>
    </w:p>
    <w:p w14:paraId="6C929BFA" w14:textId="52C6B039" w:rsidR="00710321" w:rsidRPr="007617B0" w:rsidRDefault="00710321" w:rsidP="00C20E55">
      <w:pPr>
        <w:pStyle w:val="Parasubclause1"/>
        <w:ind w:left="2160" w:hanging="720"/>
        <w:rPr>
          <w:rFonts w:ascii="Aptos" w:hAnsi="Aptos"/>
        </w:rPr>
      </w:pPr>
      <w:r w:rsidRPr="007617B0">
        <w:rPr>
          <w:rFonts w:ascii="Aptos" w:hAnsi="Aptos"/>
        </w:rPr>
        <w:t>c.</w:t>
      </w:r>
      <w:r w:rsidRPr="007617B0">
        <w:rPr>
          <w:rFonts w:ascii="Aptos" w:hAnsi="Aptos"/>
        </w:rPr>
        <w:tab/>
        <w:t xml:space="preserve">it has made its own investigations and undertaken its own research and due diligence, and has satisfied itself in respect of all matters (whether actual or contingent) relating to the invitation and has not submitted its response in reliance on any information, representation or assumption which may have been made by or on behalf of </w:t>
      </w:r>
      <w:r w:rsidR="00B8338D" w:rsidRPr="007617B0">
        <w:rPr>
          <w:rFonts w:ascii="Aptos" w:hAnsi="Aptos"/>
        </w:rPr>
        <w:t>OAT</w:t>
      </w:r>
      <w:r w:rsidRPr="007617B0">
        <w:rPr>
          <w:rFonts w:ascii="Aptos" w:hAnsi="Aptos"/>
        </w:rPr>
        <w:t xml:space="preserve"> (with the exception of any information which is expressly warranted by </w:t>
      </w:r>
      <w:r w:rsidR="00B8338D" w:rsidRPr="007617B0">
        <w:rPr>
          <w:rFonts w:ascii="Aptos" w:hAnsi="Aptos"/>
        </w:rPr>
        <w:t>OAT</w:t>
      </w:r>
      <w:r w:rsidRPr="007617B0">
        <w:rPr>
          <w:rFonts w:ascii="Aptos" w:hAnsi="Aptos"/>
        </w:rPr>
        <w:t>)</w:t>
      </w:r>
    </w:p>
    <w:p w14:paraId="4F76B6A9" w14:textId="2B634EDA" w:rsidR="00710321" w:rsidRPr="007617B0" w:rsidRDefault="00710321" w:rsidP="00C20E55">
      <w:pPr>
        <w:pStyle w:val="Parasubclause1"/>
        <w:ind w:left="2160" w:hanging="720"/>
        <w:rPr>
          <w:rFonts w:ascii="Aptos" w:hAnsi="Aptos"/>
        </w:rPr>
      </w:pPr>
      <w:r w:rsidRPr="007617B0">
        <w:rPr>
          <w:rFonts w:ascii="Aptos" w:hAnsi="Aptos"/>
        </w:rPr>
        <w:t>d.</w:t>
      </w:r>
      <w:r w:rsidRPr="007617B0">
        <w:rPr>
          <w:rFonts w:ascii="Aptos" w:hAnsi="Aptos"/>
        </w:rPr>
        <w:tab/>
        <w:t xml:space="preserve">it has full power and authority to respond to this document and to perform the obligations in relation to the contract and will, if requested, promptly produce evidence of such to </w:t>
      </w:r>
      <w:r w:rsidR="00B8338D" w:rsidRPr="007617B0">
        <w:rPr>
          <w:rFonts w:ascii="Aptos" w:hAnsi="Aptos"/>
        </w:rPr>
        <w:t>OAT</w:t>
      </w:r>
      <w:r w:rsidRPr="007617B0">
        <w:rPr>
          <w:rFonts w:ascii="Aptos" w:hAnsi="Aptos"/>
        </w:rPr>
        <w:t xml:space="preserve"> </w:t>
      </w:r>
    </w:p>
    <w:p w14:paraId="184A6084" w14:textId="1BD4DA5D" w:rsidR="00710321" w:rsidRPr="007617B0" w:rsidRDefault="00B8338D" w:rsidP="00EF5610">
      <w:pPr>
        <w:pStyle w:val="Parasubclause1"/>
        <w:ind w:left="1440"/>
        <w:rPr>
          <w:rFonts w:ascii="Aptos" w:hAnsi="Aptos"/>
        </w:rPr>
      </w:pPr>
      <w:r w:rsidRPr="007617B0">
        <w:rPr>
          <w:rFonts w:ascii="Aptos" w:hAnsi="Aptos"/>
        </w:rPr>
        <w:t xml:space="preserve">Tenderers </w:t>
      </w:r>
      <w:r w:rsidR="00710321" w:rsidRPr="007617B0">
        <w:rPr>
          <w:rFonts w:ascii="Aptos" w:hAnsi="Aptos"/>
        </w:rPr>
        <w:t>should note that the potential consequences of providing incomplete, inaccurate or misleading information include that:</w:t>
      </w:r>
    </w:p>
    <w:p w14:paraId="786569BD" w14:textId="0330B8F4" w:rsidR="00710321" w:rsidRPr="007617B0" w:rsidRDefault="00710321" w:rsidP="00EF5610">
      <w:pPr>
        <w:pStyle w:val="Parasubclause1"/>
        <w:ind w:left="1440"/>
        <w:rPr>
          <w:rFonts w:ascii="Aptos" w:hAnsi="Aptos"/>
        </w:rPr>
      </w:pPr>
      <w:r w:rsidRPr="007617B0">
        <w:rPr>
          <w:rFonts w:ascii="Aptos" w:hAnsi="Aptos"/>
        </w:rPr>
        <w:lastRenderedPageBreak/>
        <w:t>a.</w:t>
      </w:r>
      <w:r w:rsidRPr="007617B0">
        <w:rPr>
          <w:rFonts w:ascii="Aptos" w:hAnsi="Aptos"/>
        </w:rPr>
        <w:tab/>
      </w:r>
      <w:r w:rsidR="00B8338D" w:rsidRPr="007617B0">
        <w:rPr>
          <w:rFonts w:ascii="Aptos" w:hAnsi="Aptos"/>
        </w:rPr>
        <w:t>OAT</w:t>
      </w:r>
      <w:r w:rsidRPr="007617B0">
        <w:rPr>
          <w:rFonts w:ascii="Aptos" w:hAnsi="Aptos"/>
        </w:rPr>
        <w:t xml:space="preserve"> may exclude </w:t>
      </w:r>
      <w:r w:rsidR="00B8338D" w:rsidRPr="007617B0">
        <w:rPr>
          <w:rFonts w:ascii="Aptos" w:hAnsi="Aptos"/>
        </w:rPr>
        <w:t>the Tenderer</w:t>
      </w:r>
      <w:r w:rsidRPr="007617B0">
        <w:rPr>
          <w:rFonts w:ascii="Aptos" w:hAnsi="Aptos"/>
        </w:rPr>
        <w:t xml:space="preserve"> from participating in this </w:t>
      </w:r>
      <w:r w:rsidR="00B8338D" w:rsidRPr="007617B0">
        <w:rPr>
          <w:rFonts w:ascii="Aptos" w:hAnsi="Aptos"/>
        </w:rPr>
        <w:t>p</w:t>
      </w:r>
      <w:r w:rsidRPr="007617B0">
        <w:rPr>
          <w:rFonts w:ascii="Aptos" w:hAnsi="Aptos"/>
        </w:rPr>
        <w:t>rocurement</w:t>
      </w:r>
    </w:p>
    <w:p w14:paraId="659663EE" w14:textId="7F342DB9" w:rsidR="00710321" w:rsidRPr="007617B0" w:rsidRDefault="00710321" w:rsidP="00C20E55">
      <w:pPr>
        <w:pStyle w:val="Parasubclause1"/>
        <w:ind w:left="2160" w:hanging="720"/>
        <w:rPr>
          <w:rFonts w:ascii="Aptos" w:hAnsi="Aptos"/>
        </w:rPr>
      </w:pPr>
      <w:r w:rsidRPr="007617B0">
        <w:rPr>
          <w:rFonts w:ascii="Aptos" w:hAnsi="Aptos"/>
        </w:rPr>
        <w:t>b.</w:t>
      </w:r>
      <w:r w:rsidRPr="007617B0">
        <w:rPr>
          <w:rFonts w:ascii="Aptos" w:hAnsi="Aptos"/>
        </w:rPr>
        <w:tab/>
        <w:t xml:space="preserve">the </w:t>
      </w:r>
      <w:r w:rsidR="00B8338D" w:rsidRPr="007617B0">
        <w:rPr>
          <w:rFonts w:ascii="Aptos" w:hAnsi="Aptos"/>
        </w:rPr>
        <w:t xml:space="preserve">Tenderer </w:t>
      </w:r>
      <w:r w:rsidRPr="007617B0">
        <w:rPr>
          <w:rFonts w:ascii="Aptos" w:hAnsi="Aptos"/>
        </w:rPr>
        <w:t>may be excluded from bidding for contracts under Schedule 7, Paragraph 13 of the Act</w:t>
      </w:r>
    </w:p>
    <w:p w14:paraId="55848D6E" w14:textId="798611BC" w:rsidR="00710321" w:rsidRPr="007617B0" w:rsidRDefault="00710321" w:rsidP="00C20E55">
      <w:pPr>
        <w:pStyle w:val="Parasubclause1"/>
        <w:ind w:left="2160" w:hanging="720"/>
        <w:rPr>
          <w:rFonts w:ascii="Aptos" w:hAnsi="Aptos"/>
        </w:rPr>
      </w:pPr>
      <w:r w:rsidRPr="007617B0">
        <w:rPr>
          <w:rFonts w:ascii="Aptos" w:hAnsi="Aptos"/>
        </w:rPr>
        <w:t>c.</w:t>
      </w:r>
      <w:r w:rsidRPr="007617B0">
        <w:rPr>
          <w:rFonts w:ascii="Aptos" w:hAnsi="Aptos"/>
        </w:rPr>
        <w:tab/>
      </w:r>
      <w:r w:rsidR="00B8338D" w:rsidRPr="007617B0">
        <w:rPr>
          <w:rFonts w:ascii="Aptos" w:hAnsi="Aptos"/>
        </w:rPr>
        <w:t>OAT</w:t>
      </w:r>
      <w:r w:rsidRPr="007617B0">
        <w:rPr>
          <w:rFonts w:ascii="Aptos" w:hAnsi="Aptos"/>
        </w:rPr>
        <w:t xml:space="preserve"> may rescind any resulting contract under the Misrepresentation Act 1967 and may sue </w:t>
      </w:r>
      <w:r w:rsidR="00B8338D" w:rsidRPr="007617B0">
        <w:rPr>
          <w:rFonts w:ascii="Aptos" w:hAnsi="Aptos"/>
        </w:rPr>
        <w:t>the Tenderer</w:t>
      </w:r>
      <w:r w:rsidRPr="007617B0">
        <w:rPr>
          <w:rFonts w:ascii="Aptos" w:hAnsi="Aptos"/>
        </w:rPr>
        <w:t xml:space="preserve"> for damages</w:t>
      </w:r>
    </w:p>
    <w:p w14:paraId="5932AB59" w14:textId="2806057D" w:rsidR="00710321" w:rsidRPr="007617B0" w:rsidRDefault="00710321" w:rsidP="00C20E55">
      <w:pPr>
        <w:pStyle w:val="Parasubclause1"/>
        <w:ind w:left="2160" w:hanging="720"/>
        <w:rPr>
          <w:rFonts w:ascii="Aptos" w:hAnsi="Aptos"/>
        </w:rPr>
      </w:pPr>
      <w:r w:rsidRPr="007617B0">
        <w:rPr>
          <w:rFonts w:ascii="Aptos" w:hAnsi="Aptos"/>
        </w:rPr>
        <w:t>d.</w:t>
      </w:r>
      <w:r w:rsidRPr="007617B0">
        <w:rPr>
          <w:rFonts w:ascii="Aptos" w:hAnsi="Aptos"/>
        </w:rPr>
        <w:tab/>
        <w:t xml:space="preserve">if fraud or fraudulent intent can be proved, </w:t>
      </w:r>
      <w:r w:rsidR="00B8338D" w:rsidRPr="007617B0">
        <w:rPr>
          <w:rFonts w:ascii="Aptos" w:hAnsi="Aptos"/>
        </w:rPr>
        <w:t>the Tenderer</w:t>
      </w:r>
      <w:r w:rsidRPr="007617B0">
        <w:rPr>
          <w:rFonts w:ascii="Aptos" w:hAnsi="Aptos"/>
        </w:rPr>
        <w:t xml:space="preserve"> may be prosecuted and convicted of the offence of fraud by false representation under section 2 of the Fraud Act 2006, which can carry a sentence of up to 10 years or a fine (or both) – if there is a conviction, then </w:t>
      </w:r>
      <w:r w:rsidR="00B8338D" w:rsidRPr="007617B0">
        <w:rPr>
          <w:rFonts w:ascii="Aptos" w:hAnsi="Aptos"/>
        </w:rPr>
        <w:t>the Tenderer</w:t>
      </w:r>
      <w:r w:rsidRPr="007617B0">
        <w:rPr>
          <w:rFonts w:ascii="Aptos" w:hAnsi="Aptos"/>
        </w:rPr>
        <w:t xml:space="preserve"> may be excluded from bidding for contracts under Schedule 6, Paragraph 15 of the Act and may be added to the debarment list</w:t>
      </w:r>
      <w:r w:rsidR="00B8338D" w:rsidRPr="007617B0">
        <w:rPr>
          <w:rFonts w:ascii="Aptos" w:hAnsi="Aptos"/>
        </w:rPr>
        <w:t>.</w:t>
      </w:r>
    </w:p>
    <w:p w14:paraId="35508854" w14:textId="77777777" w:rsidR="00F23D6B" w:rsidRPr="002C0C31" w:rsidRDefault="00F23D6B" w:rsidP="0043347C">
      <w:pPr>
        <w:pStyle w:val="Heading2"/>
        <w:numPr>
          <w:ilvl w:val="0"/>
          <w:numId w:val="51"/>
        </w:numPr>
        <w:rPr>
          <w:rFonts w:ascii="Aptos" w:hAnsi="Aptos" w:cs="Arial"/>
        </w:rPr>
      </w:pPr>
      <w:bookmarkStart w:id="163" w:name="_Toc208856252"/>
      <w:bookmarkStart w:id="164" w:name="_Toc208864884"/>
      <w:r w:rsidRPr="002C0C31">
        <w:rPr>
          <w:rFonts w:ascii="Aptos" w:hAnsi="Aptos" w:cs="Arial"/>
        </w:rPr>
        <w:t>Abnormally Low Tender</w:t>
      </w:r>
      <w:bookmarkEnd w:id="163"/>
      <w:bookmarkEnd w:id="164"/>
    </w:p>
    <w:p w14:paraId="28B14FD6" w14:textId="699D1B83" w:rsidR="00F23D6B" w:rsidRPr="007617B0" w:rsidRDefault="00F23D6B" w:rsidP="00F23D6B">
      <w:pPr>
        <w:pStyle w:val="Heading2"/>
        <w:numPr>
          <w:ilvl w:val="0"/>
          <w:numId w:val="0"/>
        </w:numPr>
        <w:ind w:left="2160"/>
        <w:rPr>
          <w:rFonts w:ascii="Aptos" w:hAnsi="Aptos" w:cstheme="minorHAnsi"/>
          <w:b w:val="0"/>
          <w:bCs/>
          <w:highlight w:val="green"/>
        </w:rPr>
      </w:pPr>
      <w:bookmarkStart w:id="165" w:name="_Toc208856253"/>
      <w:bookmarkStart w:id="166" w:name="_Toc208864885"/>
      <w:r w:rsidRPr="009D3008">
        <w:rPr>
          <w:rFonts w:ascii="Aptos" w:hAnsi="Aptos" w:cstheme="minorHAnsi"/>
          <w:b w:val="0"/>
          <w:bCs/>
        </w:rPr>
        <w:t xml:space="preserve">In case a Tender appears to be abnormally low in relation to the </w:t>
      </w:r>
      <w:r w:rsidR="009D3008" w:rsidRPr="009D3008">
        <w:rPr>
          <w:rFonts w:ascii="Aptos" w:hAnsi="Aptos" w:cstheme="minorHAnsi"/>
          <w:b w:val="0"/>
          <w:bCs/>
        </w:rPr>
        <w:t>services to</w:t>
      </w:r>
      <w:r w:rsidRPr="009D3008">
        <w:rPr>
          <w:rFonts w:ascii="Aptos" w:hAnsi="Aptos" w:cstheme="minorHAnsi"/>
          <w:b w:val="0"/>
          <w:bCs/>
        </w:rPr>
        <w:t xml:space="preserve"> be provided, OAT will request a clarification in writing and/or explanation</w:t>
      </w:r>
      <w:r w:rsidRPr="007617B0">
        <w:rPr>
          <w:rFonts w:ascii="Aptos" w:hAnsi="Aptos" w:cstheme="minorHAnsi"/>
          <w:b w:val="0"/>
          <w:bCs/>
        </w:rPr>
        <w:t xml:space="preserve"> concerning its elements.  OAT reserves the right to exclude a Tender, if after a verification process based on the explanations and evidence received it </w:t>
      </w:r>
      <w:proofErr w:type="gramStart"/>
      <w:r w:rsidRPr="007617B0">
        <w:rPr>
          <w:rFonts w:ascii="Aptos" w:hAnsi="Aptos" w:cstheme="minorHAnsi"/>
          <w:b w:val="0"/>
          <w:bCs/>
        </w:rPr>
        <w:t>comes to the conclusion</w:t>
      </w:r>
      <w:proofErr w:type="gramEnd"/>
      <w:r w:rsidRPr="007617B0">
        <w:rPr>
          <w:rFonts w:ascii="Aptos" w:hAnsi="Aptos" w:cstheme="minorHAnsi"/>
          <w:b w:val="0"/>
          <w:bCs/>
        </w:rPr>
        <w:t xml:space="preserve"> that the Tender is abnormally low. OAT shall follow the procedure in the Act regarding abnormally low tenders.</w:t>
      </w:r>
      <w:bookmarkEnd w:id="165"/>
      <w:bookmarkEnd w:id="166"/>
    </w:p>
    <w:p w14:paraId="07E44EE0" w14:textId="1794208C" w:rsidR="00710321" w:rsidRPr="007617B0" w:rsidRDefault="00710321" w:rsidP="0043347C">
      <w:pPr>
        <w:pStyle w:val="Heading2"/>
        <w:numPr>
          <w:ilvl w:val="0"/>
          <w:numId w:val="51"/>
        </w:numPr>
        <w:rPr>
          <w:rFonts w:ascii="Aptos" w:hAnsi="Aptos" w:cs="Arial"/>
        </w:rPr>
      </w:pPr>
      <w:bookmarkStart w:id="167" w:name="_Toc208856254"/>
      <w:bookmarkStart w:id="168" w:name="_Toc208864886"/>
      <w:r w:rsidRPr="007617B0">
        <w:rPr>
          <w:rFonts w:ascii="Aptos" w:hAnsi="Aptos" w:cs="Arial"/>
        </w:rPr>
        <w:t>Third parties</w:t>
      </w:r>
      <w:bookmarkEnd w:id="167"/>
      <w:bookmarkEnd w:id="168"/>
    </w:p>
    <w:p w14:paraId="5CB29D2C" w14:textId="77777777" w:rsidR="00710321" w:rsidRPr="007617B0" w:rsidRDefault="00710321" w:rsidP="00EF5610">
      <w:pPr>
        <w:pStyle w:val="Parasubclause1"/>
        <w:ind w:left="1440"/>
        <w:rPr>
          <w:rFonts w:ascii="Aptos" w:hAnsi="Aptos"/>
        </w:rPr>
      </w:pPr>
      <w:r w:rsidRPr="007617B0">
        <w:rPr>
          <w:rFonts w:ascii="Aptos" w:hAnsi="Aptos"/>
        </w:rPr>
        <w:t>Nothing in these terms is intended to confer any rights on any third party under the Contracts (Rights of Third Parties) Act 1999. This does not affect any right or remedy of any person which exists or is available apart from that Act.</w:t>
      </w:r>
    </w:p>
    <w:p w14:paraId="4B448ADC" w14:textId="77777777" w:rsidR="00710321" w:rsidRPr="007617B0" w:rsidRDefault="00710321" w:rsidP="0043347C">
      <w:pPr>
        <w:pStyle w:val="Heading2"/>
        <w:numPr>
          <w:ilvl w:val="0"/>
          <w:numId w:val="51"/>
        </w:numPr>
        <w:rPr>
          <w:rFonts w:ascii="Aptos" w:hAnsi="Aptos" w:cs="Arial"/>
        </w:rPr>
      </w:pPr>
      <w:bookmarkStart w:id="169" w:name="_Toc208856255"/>
      <w:bookmarkStart w:id="170" w:name="_Toc208864887"/>
      <w:r w:rsidRPr="007617B0">
        <w:rPr>
          <w:rFonts w:ascii="Aptos" w:hAnsi="Aptos" w:cs="Arial"/>
        </w:rPr>
        <w:t>Applicable law</w:t>
      </w:r>
      <w:bookmarkEnd w:id="169"/>
      <w:bookmarkEnd w:id="170"/>
    </w:p>
    <w:p w14:paraId="1F8FE6A7" w14:textId="77777777" w:rsidR="00710321" w:rsidRPr="007617B0" w:rsidRDefault="00710321" w:rsidP="00EF5610">
      <w:pPr>
        <w:pStyle w:val="Parasubclause1"/>
        <w:ind w:left="1440"/>
        <w:rPr>
          <w:rFonts w:ascii="Aptos" w:hAnsi="Aptos"/>
        </w:rPr>
      </w:pPr>
      <w:r w:rsidRPr="007617B0">
        <w:rPr>
          <w:rFonts w:ascii="Aptos" w:hAnsi="Aptos"/>
        </w:rPr>
        <w:t xml:space="preserve">The laws of England and Wales are applicable to this Procurement. </w:t>
      </w:r>
    </w:p>
    <w:p w14:paraId="788CDC9C" w14:textId="08C52D8C" w:rsidR="00DA147D" w:rsidRPr="007617B0" w:rsidRDefault="00B8338D" w:rsidP="00C20E55">
      <w:pPr>
        <w:pStyle w:val="Parasubclause1"/>
        <w:ind w:left="1440"/>
        <w:rPr>
          <w:rFonts w:ascii="Aptos" w:hAnsi="Aptos"/>
        </w:rPr>
      </w:pPr>
      <w:r w:rsidRPr="007617B0">
        <w:rPr>
          <w:rFonts w:ascii="Aptos" w:hAnsi="Aptos"/>
        </w:rPr>
        <w:t>Tenderer</w:t>
      </w:r>
      <w:r w:rsidR="008B57E7" w:rsidRPr="007617B0">
        <w:rPr>
          <w:rFonts w:ascii="Aptos" w:hAnsi="Aptos"/>
        </w:rPr>
        <w:t>s</w:t>
      </w:r>
      <w:r w:rsidRPr="007617B0">
        <w:rPr>
          <w:rFonts w:ascii="Aptos" w:hAnsi="Aptos"/>
        </w:rPr>
        <w:t xml:space="preserve"> </w:t>
      </w:r>
      <w:r w:rsidR="00710321" w:rsidRPr="007617B0">
        <w:rPr>
          <w:rFonts w:ascii="Aptos" w:hAnsi="Aptos"/>
        </w:rPr>
        <w:t xml:space="preserve">must agree to submit to the exclusive jurisdiction of the Courts of England and Wales in relation to any dispute arising out of or in connection with this </w:t>
      </w:r>
      <w:r w:rsidRPr="007617B0">
        <w:rPr>
          <w:rFonts w:ascii="Aptos" w:hAnsi="Aptos"/>
        </w:rPr>
        <w:t>p</w:t>
      </w:r>
      <w:r w:rsidR="00710321" w:rsidRPr="007617B0">
        <w:rPr>
          <w:rFonts w:ascii="Aptos" w:hAnsi="Aptos"/>
        </w:rPr>
        <w:t>rocurement.</w:t>
      </w:r>
      <w:r w:rsidR="00DA147D" w:rsidRPr="007617B0">
        <w:rPr>
          <w:rFonts w:ascii="Aptos" w:hAnsi="Aptos"/>
        </w:rPr>
        <w:fldChar w:fldCharType="begin"/>
      </w:r>
      <w:r w:rsidR="00DA147D" w:rsidRPr="007617B0">
        <w:rPr>
          <w:rFonts w:ascii="Aptos" w:hAnsi="Aptos"/>
        </w:rPr>
        <w:fldChar w:fldCharType="end"/>
      </w:r>
    </w:p>
    <w:p w14:paraId="785FB3B8" w14:textId="77777777" w:rsidR="00DA147D" w:rsidRPr="0087474B" w:rsidRDefault="00DA147D" w:rsidP="0043347C">
      <w:pPr>
        <w:pStyle w:val="TitleClause"/>
        <w:numPr>
          <w:ilvl w:val="0"/>
          <w:numId w:val="66"/>
        </w:numPr>
        <w:rPr>
          <w:rFonts w:ascii="Aptos" w:hAnsi="Aptos"/>
        </w:rPr>
      </w:pPr>
      <w:bookmarkStart w:id="171" w:name="a462343"/>
      <w:bookmarkStart w:id="172" w:name="_Toc208856256"/>
      <w:bookmarkStart w:id="173" w:name="_Toc208864888"/>
      <w:r w:rsidRPr="007617B0">
        <w:rPr>
          <w:rFonts w:ascii="Aptos" w:hAnsi="Aptos"/>
        </w:rPr>
        <w:t>Contract terms</w:t>
      </w:r>
      <w:bookmarkEnd w:id="171"/>
      <w:bookmarkEnd w:id="172"/>
      <w:bookmarkEnd w:id="173"/>
    </w:p>
    <w:p w14:paraId="117C75D4" w14:textId="3E6BA7A3" w:rsidR="00F23D6B" w:rsidRPr="007617B0" w:rsidRDefault="00F23D6B" w:rsidP="00F23D6B">
      <w:pPr>
        <w:pStyle w:val="TitleClause"/>
        <w:rPr>
          <w:rFonts w:ascii="Aptos" w:hAnsi="Aptos" w:cstheme="minorHAnsi"/>
          <w:b w:val="0"/>
          <w:bCs/>
        </w:rPr>
      </w:pPr>
      <w:bookmarkStart w:id="174" w:name="_Toc208856257"/>
      <w:bookmarkStart w:id="175" w:name="_Toc208864889"/>
      <w:bookmarkStart w:id="176" w:name="a43840"/>
      <w:r w:rsidRPr="007617B0">
        <w:rPr>
          <w:rFonts w:ascii="Aptos" w:hAnsi="Aptos" w:cstheme="minorHAnsi"/>
          <w:b w:val="0"/>
          <w:bCs/>
        </w:rPr>
        <w:t xml:space="preserve">The </w:t>
      </w:r>
      <w:r w:rsidR="00527246">
        <w:rPr>
          <w:rFonts w:ascii="Aptos" w:hAnsi="Aptos" w:cstheme="minorHAnsi"/>
          <w:b w:val="0"/>
          <w:bCs/>
        </w:rPr>
        <w:t xml:space="preserve">Framework </w:t>
      </w:r>
      <w:r w:rsidRPr="007617B0">
        <w:rPr>
          <w:rFonts w:ascii="Aptos" w:hAnsi="Aptos" w:cstheme="minorHAnsi"/>
          <w:b w:val="0"/>
          <w:bCs/>
        </w:rPr>
        <w:t xml:space="preserve">Contract </w:t>
      </w:r>
      <w:r w:rsidR="00527246">
        <w:rPr>
          <w:rFonts w:ascii="Aptos" w:hAnsi="Aptos" w:cstheme="minorHAnsi"/>
          <w:b w:val="0"/>
          <w:bCs/>
        </w:rPr>
        <w:t>terms are</w:t>
      </w:r>
      <w:r w:rsidRPr="007617B0">
        <w:rPr>
          <w:rFonts w:ascii="Aptos" w:hAnsi="Aptos" w:cstheme="minorHAnsi"/>
          <w:b w:val="0"/>
          <w:bCs/>
        </w:rPr>
        <w:t xml:space="preserve"> attached </w:t>
      </w:r>
      <w:r w:rsidR="00527246">
        <w:rPr>
          <w:rFonts w:ascii="Aptos" w:hAnsi="Aptos" w:cstheme="minorHAnsi"/>
          <w:b w:val="0"/>
          <w:bCs/>
        </w:rPr>
        <w:t>as</w:t>
      </w:r>
      <w:r w:rsidRPr="007617B0">
        <w:rPr>
          <w:rFonts w:ascii="Aptos" w:hAnsi="Aptos" w:cstheme="minorHAnsi"/>
          <w:b w:val="0"/>
          <w:bCs/>
        </w:rPr>
        <w:t xml:space="preserve"> </w:t>
      </w:r>
      <w:r w:rsidRPr="007617B0">
        <w:rPr>
          <w:rFonts w:ascii="Aptos" w:hAnsi="Aptos" w:cstheme="minorHAnsi"/>
          <w:b w:val="0"/>
          <w:bCs/>
        </w:rPr>
        <w:fldChar w:fldCharType="begin"/>
      </w:r>
      <w:r w:rsidRPr="007617B0">
        <w:rPr>
          <w:rFonts w:ascii="Aptos" w:hAnsi="Aptos" w:cstheme="minorHAnsi"/>
          <w:b w:val="0"/>
          <w:bCs/>
          <w:highlight w:val="lightGray"/>
        </w:rPr>
        <w:instrText>REF a468549 \h \w</w:instrText>
      </w:r>
      <w:r w:rsidRPr="007617B0">
        <w:rPr>
          <w:rFonts w:ascii="Aptos" w:hAnsi="Aptos" w:cstheme="minorHAnsi"/>
          <w:b w:val="0"/>
          <w:bCs/>
        </w:rPr>
        <w:instrText xml:space="preserve"> \* MERGEFORMAT </w:instrText>
      </w:r>
      <w:r w:rsidRPr="007617B0">
        <w:rPr>
          <w:rFonts w:ascii="Aptos" w:hAnsi="Aptos" w:cstheme="minorHAnsi"/>
          <w:b w:val="0"/>
          <w:bCs/>
        </w:rPr>
      </w:r>
      <w:r w:rsidRPr="007617B0">
        <w:rPr>
          <w:rFonts w:ascii="Aptos" w:hAnsi="Aptos" w:cstheme="minorHAnsi"/>
          <w:b w:val="0"/>
          <w:bCs/>
        </w:rPr>
        <w:fldChar w:fldCharType="separate"/>
      </w:r>
      <w:r w:rsidRPr="007617B0">
        <w:rPr>
          <w:rFonts w:ascii="Aptos" w:hAnsi="Aptos" w:cstheme="minorHAnsi"/>
          <w:b w:val="0"/>
          <w:bCs/>
        </w:rPr>
        <w:t>Schedule 1</w:t>
      </w:r>
      <w:r w:rsidRPr="007617B0">
        <w:rPr>
          <w:rFonts w:ascii="Aptos" w:hAnsi="Aptos" w:cstheme="minorHAnsi"/>
          <w:b w:val="0"/>
          <w:bCs/>
        </w:rPr>
        <w:fldChar w:fldCharType="end"/>
      </w:r>
      <w:r w:rsidRPr="007617B0">
        <w:rPr>
          <w:rFonts w:ascii="Aptos" w:hAnsi="Aptos" w:cstheme="minorHAnsi"/>
          <w:b w:val="0"/>
          <w:bCs/>
        </w:rPr>
        <w:t xml:space="preserve">. By submitting a Tender, Tenderers are agreeing to be bound by the terms of this ITT and the Contract without further negotiation or </w:t>
      </w:r>
      <w:r w:rsidRPr="007617B0">
        <w:rPr>
          <w:rFonts w:ascii="Aptos" w:hAnsi="Aptos" w:cstheme="minorHAnsi"/>
          <w:b w:val="0"/>
          <w:bCs/>
        </w:rPr>
        <w:lastRenderedPageBreak/>
        <w:t>amendment if awarded the Contract. Any amendments to the Contract shall be at the sole discretion of OAT.</w:t>
      </w:r>
      <w:bookmarkEnd w:id="174"/>
      <w:bookmarkEnd w:id="175"/>
    </w:p>
    <w:p w14:paraId="6EC11164" w14:textId="6887C924" w:rsidR="00F23D6B" w:rsidRPr="007617B0" w:rsidRDefault="00F23D6B" w:rsidP="00F23D6B">
      <w:pPr>
        <w:pStyle w:val="TitleClause"/>
        <w:rPr>
          <w:rFonts w:ascii="Aptos" w:hAnsi="Aptos" w:cstheme="minorHAnsi"/>
          <w:b w:val="0"/>
          <w:bCs/>
        </w:rPr>
      </w:pPr>
      <w:bookmarkStart w:id="177" w:name="_Toc208856258"/>
      <w:bookmarkStart w:id="178" w:name="_Toc208864890"/>
      <w:r w:rsidRPr="007617B0">
        <w:rPr>
          <w:rFonts w:ascii="Aptos" w:hAnsi="Aptos" w:cstheme="minorHAnsi"/>
          <w:b w:val="0"/>
          <w:bCs/>
        </w:rPr>
        <w:t>If the terms of the Contract render the proposals in the Tenderer's Tender unworkable, the Tenderer should submit a clarification in accordance with the procedure set out in this ITT</w:t>
      </w:r>
      <w:r w:rsidR="001333FD">
        <w:rPr>
          <w:rFonts w:ascii="Aptos" w:hAnsi="Aptos" w:cstheme="minorHAnsi"/>
          <w:b w:val="0"/>
          <w:bCs/>
        </w:rPr>
        <w:t>.</w:t>
      </w:r>
      <w:bookmarkEnd w:id="177"/>
      <w:bookmarkEnd w:id="178"/>
    </w:p>
    <w:p w14:paraId="11C99A1C" w14:textId="77777777" w:rsidR="00ED24CD" w:rsidRPr="00ED24CD" w:rsidRDefault="00ED24CD" w:rsidP="00ED24CD">
      <w:pPr>
        <w:pStyle w:val="ListParagraph"/>
        <w:numPr>
          <w:ilvl w:val="0"/>
          <w:numId w:val="68"/>
        </w:numPr>
        <w:spacing w:before="280" w:line="300" w:lineRule="atLeast"/>
        <w:contextualSpacing w:val="0"/>
        <w:jc w:val="both"/>
        <w:outlineLvl w:val="1"/>
        <w:rPr>
          <w:rFonts w:ascii="Aptos" w:eastAsia="Arial Unicode MS" w:hAnsi="Aptos" w:cs="Arial"/>
          <w:b/>
          <w:vanish/>
        </w:rPr>
      </w:pPr>
      <w:bookmarkStart w:id="179" w:name="_Toc208864891"/>
      <w:bookmarkStart w:id="180" w:name="_Toc208856259"/>
      <w:bookmarkEnd w:id="179"/>
    </w:p>
    <w:p w14:paraId="3BFC5FCF" w14:textId="0F8C3B3F" w:rsidR="00DA147D" w:rsidRPr="007617B0" w:rsidRDefault="00DA147D" w:rsidP="0043347C">
      <w:pPr>
        <w:pStyle w:val="Untitledsubclause1"/>
        <w:numPr>
          <w:ilvl w:val="1"/>
          <w:numId w:val="68"/>
        </w:numPr>
        <w:rPr>
          <w:rFonts w:ascii="Aptos" w:hAnsi="Aptos"/>
          <w:b/>
        </w:rPr>
      </w:pPr>
      <w:bookmarkStart w:id="181" w:name="_Toc208864892"/>
      <w:r w:rsidRPr="007617B0">
        <w:rPr>
          <w:rFonts w:ascii="Aptos" w:hAnsi="Aptos"/>
          <w:b/>
        </w:rPr>
        <w:t>Documents forming the contract</w:t>
      </w:r>
      <w:bookmarkEnd w:id="176"/>
      <w:bookmarkEnd w:id="180"/>
      <w:bookmarkEnd w:id="181"/>
    </w:p>
    <w:p w14:paraId="1B891B78" w14:textId="04AD9D93" w:rsidR="00F23D6B" w:rsidRPr="007617B0" w:rsidRDefault="00F23D6B" w:rsidP="00F23D6B">
      <w:pPr>
        <w:pStyle w:val="Parasubclause1"/>
        <w:rPr>
          <w:rFonts w:ascii="Aptos" w:hAnsi="Aptos" w:cstheme="minorHAnsi"/>
        </w:rPr>
      </w:pPr>
      <w:bookmarkStart w:id="182" w:name="a671928"/>
      <w:r w:rsidRPr="007617B0">
        <w:rPr>
          <w:rFonts w:ascii="Aptos" w:hAnsi="Aptos" w:cstheme="minorHAnsi"/>
        </w:rPr>
        <w:t>The following documents shall form part of the Contract between OAT and the Service Provider(s):</w:t>
      </w:r>
    </w:p>
    <w:p w14:paraId="7FE9A887" w14:textId="53C2BAC5" w:rsidR="00F23D6B" w:rsidRPr="007617B0" w:rsidRDefault="00480B49" w:rsidP="0043347C">
      <w:pPr>
        <w:pStyle w:val="Untitledsubclause1"/>
        <w:numPr>
          <w:ilvl w:val="0"/>
          <w:numId w:val="62"/>
        </w:numPr>
        <w:rPr>
          <w:rFonts w:ascii="Aptos" w:hAnsi="Aptos" w:cstheme="minorHAnsi"/>
        </w:rPr>
      </w:pPr>
      <w:r>
        <w:rPr>
          <w:rFonts w:ascii="Aptos" w:hAnsi="Aptos" w:cstheme="minorHAnsi"/>
        </w:rPr>
        <w:t xml:space="preserve">Framework </w:t>
      </w:r>
      <w:bookmarkStart w:id="183" w:name="_Toc208856260"/>
      <w:bookmarkStart w:id="184" w:name="_Toc208864893"/>
      <w:r w:rsidR="00F23D6B" w:rsidRPr="007617B0">
        <w:rPr>
          <w:rFonts w:ascii="Aptos" w:hAnsi="Aptos" w:cstheme="minorHAnsi"/>
        </w:rPr>
        <w:t>Contract</w:t>
      </w:r>
      <w:r w:rsidR="00D333B7">
        <w:rPr>
          <w:rFonts w:ascii="Aptos" w:hAnsi="Aptos" w:cstheme="minorHAnsi"/>
        </w:rPr>
        <w:t>, it</w:t>
      </w:r>
      <w:r w:rsidR="0062784D">
        <w:rPr>
          <w:rFonts w:ascii="Aptos" w:hAnsi="Aptos" w:cstheme="minorHAnsi"/>
        </w:rPr>
        <w:t>’s Appendices</w:t>
      </w:r>
      <w:r w:rsidR="00F23D6B" w:rsidRPr="007617B0">
        <w:rPr>
          <w:rFonts w:ascii="Aptos" w:hAnsi="Aptos" w:cstheme="minorHAnsi"/>
        </w:rPr>
        <w:t xml:space="preserve"> and its schedules.</w:t>
      </w:r>
      <w:bookmarkEnd w:id="183"/>
      <w:bookmarkEnd w:id="184"/>
    </w:p>
    <w:p w14:paraId="41F333A9" w14:textId="12214553" w:rsidR="00F23D6B" w:rsidRPr="007617B0" w:rsidRDefault="00640AE9" w:rsidP="0043347C">
      <w:pPr>
        <w:pStyle w:val="Untitledsubclause1"/>
        <w:numPr>
          <w:ilvl w:val="0"/>
          <w:numId w:val="62"/>
        </w:numPr>
        <w:rPr>
          <w:rFonts w:ascii="Aptos" w:hAnsi="Aptos" w:cstheme="minorHAnsi"/>
        </w:rPr>
      </w:pPr>
      <w:bookmarkStart w:id="185" w:name="_Toc208856261"/>
      <w:bookmarkStart w:id="186" w:name="_Toc208864894"/>
      <w:r>
        <w:rPr>
          <w:rFonts w:ascii="Aptos" w:hAnsi="Aptos" w:cstheme="minorHAnsi"/>
        </w:rPr>
        <w:t>Statement of Requirements</w:t>
      </w:r>
      <w:r w:rsidR="00F23D6B" w:rsidRPr="007617B0">
        <w:rPr>
          <w:rFonts w:ascii="Aptos" w:hAnsi="Aptos" w:cstheme="minorHAnsi"/>
        </w:rPr>
        <w:t>.</w:t>
      </w:r>
      <w:bookmarkEnd w:id="185"/>
      <w:bookmarkEnd w:id="186"/>
    </w:p>
    <w:p w14:paraId="756A1B24" w14:textId="216D44D1" w:rsidR="00656074" w:rsidRPr="007617B0" w:rsidRDefault="00656074" w:rsidP="0043347C">
      <w:pPr>
        <w:pStyle w:val="Parasubclause1"/>
        <w:numPr>
          <w:ilvl w:val="0"/>
          <w:numId w:val="62"/>
        </w:numPr>
        <w:rPr>
          <w:rFonts w:ascii="Aptos" w:hAnsi="Aptos" w:cstheme="minorHAnsi"/>
        </w:rPr>
      </w:pPr>
      <w:r w:rsidRPr="007617B0">
        <w:rPr>
          <w:rFonts w:ascii="Aptos" w:hAnsi="Aptos" w:cstheme="minorHAnsi"/>
        </w:rPr>
        <w:t>This ITT and all clarifications accepted by OAT as forming part of the Contract</w:t>
      </w:r>
    </w:p>
    <w:p w14:paraId="0447B2F5" w14:textId="6F01A4B6" w:rsidR="00F23D6B" w:rsidRDefault="00F23D6B">
      <w:pPr>
        <w:pStyle w:val="Untitledsubclause1"/>
        <w:numPr>
          <w:ilvl w:val="0"/>
          <w:numId w:val="62"/>
        </w:numPr>
        <w:rPr>
          <w:rFonts w:ascii="Aptos" w:hAnsi="Aptos" w:cstheme="minorHAnsi"/>
        </w:rPr>
      </w:pPr>
      <w:bookmarkStart w:id="187" w:name="_Toc208856262"/>
      <w:bookmarkStart w:id="188" w:name="_Toc208864895"/>
      <w:r w:rsidRPr="007617B0">
        <w:rPr>
          <w:rFonts w:ascii="Aptos" w:hAnsi="Aptos" w:cstheme="minorHAnsi"/>
        </w:rPr>
        <w:t>Schedules</w:t>
      </w:r>
      <w:r w:rsidR="004339A3">
        <w:rPr>
          <w:rFonts w:ascii="Aptos" w:hAnsi="Aptos" w:cstheme="minorHAnsi"/>
        </w:rPr>
        <w:t xml:space="preserve"> and Appendices</w:t>
      </w:r>
      <w:r w:rsidRPr="007617B0">
        <w:rPr>
          <w:rFonts w:ascii="Aptos" w:hAnsi="Aptos" w:cstheme="minorHAnsi"/>
        </w:rPr>
        <w:t xml:space="preserve"> (such as service levels, site </w:t>
      </w:r>
      <w:r w:rsidR="00957796">
        <w:rPr>
          <w:rFonts w:ascii="Aptos" w:hAnsi="Aptos" w:cstheme="minorHAnsi"/>
        </w:rPr>
        <w:t>maps</w:t>
      </w:r>
      <w:r w:rsidRPr="007617B0">
        <w:rPr>
          <w:rFonts w:ascii="Aptos" w:hAnsi="Aptos" w:cstheme="minorHAnsi"/>
        </w:rPr>
        <w:t xml:space="preserve">, </w:t>
      </w:r>
      <w:r w:rsidRPr="00402600">
        <w:rPr>
          <w:rFonts w:ascii="Aptos" w:hAnsi="Aptos" w:cstheme="minorHAnsi"/>
        </w:rPr>
        <w:t>relevant policies and so on).</w:t>
      </w:r>
      <w:bookmarkEnd w:id="187"/>
      <w:bookmarkEnd w:id="188"/>
    </w:p>
    <w:p w14:paraId="25E5C53F" w14:textId="0E01CF79" w:rsidR="004D1E65" w:rsidRPr="00402600" w:rsidRDefault="00975642" w:rsidP="0043347C">
      <w:pPr>
        <w:pStyle w:val="Untitledsubclause1"/>
        <w:numPr>
          <w:ilvl w:val="0"/>
          <w:numId w:val="62"/>
        </w:numPr>
        <w:rPr>
          <w:rFonts w:ascii="Aptos" w:hAnsi="Aptos" w:cstheme="minorHAnsi"/>
        </w:rPr>
      </w:pPr>
      <w:r>
        <w:rPr>
          <w:rFonts w:ascii="Aptos" w:hAnsi="Aptos" w:cstheme="minorHAnsi"/>
        </w:rPr>
        <w:t>Responses to Award Questions.</w:t>
      </w:r>
    </w:p>
    <w:p w14:paraId="67F9E195" w14:textId="487A10CC" w:rsidR="00F23D6B" w:rsidRPr="007617B0" w:rsidRDefault="00F23D6B" w:rsidP="0043347C">
      <w:pPr>
        <w:pStyle w:val="Untitledsubclause1"/>
        <w:numPr>
          <w:ilvl w:val="0"/>
          <w:numId w:val="62"/>
        </w:numPr>
        <w:rPr>
          <w:rFonts w:ascii="Aptos" w:hAnsi="Aptos" w:cstheme="minorHAnsi"/>
        </w:rPr>
      </w:pPr>
      <w:bookmarkStart w:id="189" w:name="_Toc208856264"/>
      <w:bookmarkStart w:id="190" w:name="_Toc208864897"/>
      <w:r w:rsidRPr="00402600">
        <w:rPr>
          <w:rFonts w:ascii="Aptos" w:hAnsi="Aptos" w:cstheme="minorHAnsi"/>
        </w:rPr>
        <w:t xml:space="preserve">Responses to requirements </w:t>
      </w:r>
      <w:r w:rsidR="00975642">
        <w:rPr>
          <w:rFonts w:ascii="Aptos" w:hAnsi="Aptos" w:cstheme="minorHAnsi"/>
          <w:b/>
        </w:rPr>
        <w:t>and</w:t>
      </w:r>
      <w:r w:rsidRPr="00402600">
        <w:rPr>
          <w:rFonts w:ascii="Aptos" w:hAnsi="Aptos" w:cstheme="minorHAnsi"/>
        </w:rPr>
        <w:t xml:space="preserve"> questions</w:t>
      </w:r>
      <w:r w:rsidR="00855EB7" w:rsidRPr="00402600">
        <w:rPr>
          <w:rFonts w:ascii="Aptos" w:hAnsi="Aptos" w:cstheme="minorHAnsi"/>
        </w:rPr>
        <w:t xml:space="preserve"> </w:t>
      </w:r>
      <w:r w:rsidR="00181F40" w:rsidRPr="00402600">
        <w:rPr>
          <w:rFonts w:ascii="Aptos" w:hAnsi="Aptos" w:cstheme="minorHAnsi"/>
        </w:rPr>
        <w:t>in the P</w:t>
      </w:r>
      <w:r w:rsidR="0010791C" w:rsidRPr="00402600">
        <w:rPr>
          <w:rFonts w:ascii="Aptos" w:hAnsi="Aptos" w:cstheme="minorHAnsi"/>
        </w:rPr>
        <w:t>SQ</w:t>
      </w:r>
      <w:r w:rsidR="00402600" w:rsidRPr="00402600">
        <w:rPr>
          <w:rFonts w:ascii="Aptos" w:hAnsi="Aptos" w:cstheme="minorHAnsi"/>
        </w:rPr>
        <w:t>,</w:t>
      </w:r>
      <w:r w:rsidR="0010791C" w:rsidRPr="00402600">
        <w:rPr>
          <w:rFonts w:ascii="Aptos" w:hAnsi="Aptos" w:cstheme="minorHAnsi"/>
        </w:rPr>
        <w:t xml:space="preserve"> </w:t>
      </w:r>
      <w:r w:rsidRPr="00402600">
        <w:rPr>
          <w:rFonts w:ascii="Aptos" w:hAnsi="Aptos" w:cstheme="minorHAnsi"/>
        </w:rPr>
        <w:t>as completed by the Service Provider).</w:t>
      </w:r>
      <w:bookmarkEnd w:id="189"/>
      <w:bookmarkEnd w:id="190"/>
    </w:p>
    <w:p w14:paraId="410BB2D4" w14:textId="05759845" w:rsidR="004366F6" w:rsidRPr="004366F6" w:rsidRDefault="004366F6" w:rsidP="0043347C">
      <w:pPr>
        <w:pStyle w:val="TitleClause"/>
        <w:spacing w:after="0" w:line="276" w:lineRule="auto"/>
        <w:ind w:left="720"/>
        <w:rPr>
          <w:rFonts w:ascii="Aptos" w:hAnsi="Aptos" w:cstheme="minorHAnsi"/>
          <w:b w:val="0"/>
          <w:bCs/>
        </w:rPr>
      </w:pPr>
      <w:bookmarkStart w:id="191" w:name="_Toc208856265"/>
      <w:bookmarkStart w:id="192" w:name="_Toc208864898"/>
      <w:r w:rsidRPr="004366F6">
        <w:rPr>
          <w:rFonts w:ascii="Aptos" w:eastAsia="Times New Roman" w:hAnsi="Aptos"/>
          <w:b w:val="0"/>
          <w:bCs/>
        </w:rPr>
        <w:t>After the publication of the Contract Award Notice and conclusion of any standstill period required by Procurement Act 2023, the successful supplier will be sent, via the tendering Portal, a Contract Award letter and a fully populated and Client signed version of the final Framework Agreement. The Award Letter and the final Framework agreement is OATs offer of the contract to the supplier. When OAT receives written acceptance and an unmodified counter-signed framework agreement from the supplier via the tendering Portal, a contract will be formalised. OAT requires written acceptance from the successful supplier in response to the Award letter and an unmodified counter-signed framework agreement within 3 days via the tendering Portal or OAT reserves the right to consider awarding the contract to the next ranked supplier.</w:t>
      </w:r>
      <w:bookmarkEnd w:id="191"/>
      <w:bookmarkEnd w:id="192"/>
      <w:r w:rsidRPr="004366F6">
        <w:rPr>
          <w:rStyle w:val="FootnoteReference"/>
          <w:rFonts w:ascii="Aptos" w:hAnsi="Aptos" w:cstheme="minorHAnsi"/>
          <w:b w:val="0"/>
          <w:bCs/>
        </w:rPr>
        <w:t xml:space="preserve"> </w:t>
      </w:r>
    </w:p>
    <w:p w14:paraId="78D852F8" w14:textId="77777777" w:rsidR="004366F6" w:rsidRDefault="004366F6" w:rsidP="004366F6">
      <w:pPr>
        <w:pStyle w:val="TitleClause"/>
        <w:ind w:left="720"/>
        <w:rPr>
          <w:rFonts w:ascii="Aptos" w:hAnsi="Aptos" w:cstheme="minorHAnsi"/>
          <w:b w:val="0"/>
          <w:bCs/>
        </w:rPr>
      </w:pPr>
      <w:bookmarkStart w:id="193" w:name="_Toc208856266"/>
      <w:bookmarkStart w:id="194" w:name="_Toc208864899"/>
      <w:r w:rsidRPr="004366F6">
        <w:rPr>
          <w:rFonts w:ascii="Aptos" w:hAnsi="Aptos" w:cstheme="minorHAnsi"/>
          <w:b w:val="0"/>
          <w:bCs/>
        </w:rPr>
        <w:t>Tenderers should note that, notwithstanding the areas of the Framework agreement highlighted for finalisation, participation in this procurement process denotes the acceptance of the ‘fixed’ (not highlighted) sections of the Framework Agreement and the entirety of the terms and conditions proposed in Schedule 1 in the event of any future awarded Call-Off Contracts to the tenderer.</w:t>
      </w:r>
      <w:bookmarkEnd w:id="193"/>
      <w:bookmarkEnd w:id="194"/>
    </w:p>
    <w:p w14:paraId="1C70A4F5" w14:textId="77777777" w:rsidR="00DA147D" w:rsidRPr="007617B0" w:rsidRDefault="00DA147D" w:rsidP="0043347C">
      <w:pPr>
        <w:pStyle w:val="Untitledsubclause1"/>
        <w:numPr>
          <w:ilvl w:val="1"/>
          <w:numId w:val="68"/>
        </w:numPr>
        <w:rPr>
          <w:rFonts w:ascii="Aptos" w:hAnsi="Aptos"/>
          <w:b/>
        </w:rPr>
      </w:pPr>
      <w:bookmarkStart w:id="195" w:name="_Toc208856267"/>
      <w:bookmarkStart w:id="196" w:name="_Toc208864900"/>
      <w:r w:rsidRPr="007617B0">
        <w:rPr>
          <w:rFonts w:ascii="Aptos" w:hAnsi="Aptos"/>
          <w:b/>
        </w:rPr>
        <w:t>Warnings and disclaimers</w:t>
      </w:r>
      <w:bookmarkEnd w:id="182"/>
      <w:bookmarkEnd w:id="195"/>
      <w:bookmarkEnd w:id="196"/>
    </w:p>
    <w:p w14:paraId="28751782" w14:textId="1258E4C2" w:rsidR="00DA147D" w:rsidRPr="007617B0" w:rsidRDefault="00DA147D" w:rsidP="00CA1A98">
      <w:pPr>
        <w:pStyle w:val="Parasubclause1"/>
        <w:rPr>
          <w:rFonts w:ascii="Aptos" w:hAnsi="Aptos"/>
        </w:rPr>
      </w:pPr>
      <w:r w:rsidRPr="007617B0">
        <w:rPr>
          <w:rFonts w:ascii="Aptos" w:hAnsi="Aptos"/>
        </w:rPr>
        <w:lastRenderedPageBreak/>
        <w:t xml:space="preserve">While the information contained in this ITT is believed to be correct at the time of issue, neither </w:t>
      </w:r>
      <w:r w:rsidR="00B8338D" w:rsidRPr="007617B0">
        <w:rPr>
          <w:rFonts w:ascii="Aptos" w:hAnsi="Aptos"/>
        </w:rPr>
        <w:t>OAT</w:t>
      </w:r>
      <w:r w:rsidRPr="007617B0">
        <w:rPr>
          <w:rFonts w:ascii="Aptos" w:hAnsi="Aptos"/>
        </w:rPr>
        <w:t xml:space="preserve">, its advisors, nor any other awarding authorities will accept any liability for its accuracy, adequacy or completeness, nor will any express or implied warranty be given. This exclusion extends to liability in relation to any statement, opinion or conclusion contained in or any omission from, this ITT (including </w:t>
      </w:r>
      <w:r w:rsidR="008B57E7" w:rsidRPr="007617B0">
        <w:rPr>
          <w:rFonts w:ascii="Aptos" w:hAnsi="Aptos"/>
        </w:rPr>
        <w:t>its schedules and appendices</w:t>
      </w:r>
      <w:r w:rsidRPr="007617B0">
        <w:rPr>
          <w:rFonts w:ascii="Aptos" w:hAnsi="Aptos"/>
        </w:rPr>
        <w:t xml:space="preserve">) and in respect of any other written or oral communication transmitted (or otherwise made available) to any Tenderer. This exclusion does not extend to any fraudulent misrepresentation made by or on behalf of </w:t>
      </w:r>
      <w:r w:rsidR="00B8338D" w:rsidRPr="007617B0">
        <w:rPr>
          <w:rFonts w:ascii="Aptos" w:hAnsi="Aptos"/>
        </w:rPr>
        <w:t>OAT</w:t>
      </w:r>
      <w:r w:rsidRPr="007617B0">
        <w:rPr>
          <w:rFonts w:ascii="Aptos" w:hAnsi="Aptos"/>
        </w:rPr>
        <w:t>.</w:t>
      </w:r>
    </w:p>
    <w:p w14:paraId="2F139B29" w14:textId="344CBD48" w:rsidR="00DA147D" w:rsidRPr="007617B0" w:rsidRDefault="00DA147D" w:rsidP="00CA1A98">
      <w:pPr>
        <w:pStyle w:val="Parasubclause1"/>
        <w:rPr>
          <w:rFonts w:ascii="Aptos" w:hAnsi="Aptos"/>
        </w:rPr>
      </w:pPr>
      <w:r w:rsidRPr="007617B0">
        <w:rPr>
          <w:rFonts w:ascii="Aptos" w:hAnsi="Aptos"/>
        </w:rPr>
        <w:t xml:space="preserve">If a Tenderer proposes to </w:t>
      </w:r>
      <w:proofErr w:type="gramStart"/>
      <w:r w:rsidRPr="007617B0">
        <w:rPr>
          <w:rFonts w:ascii="Aptos" w:hAnsi="Aptos"/>
        </w:rPr>
        <w:t>enter into</w:t>
      </w:r>
      <w:proofErr w:type="gramEnd"/>
      <w:r w:rsidRPr="007617B0">
        <w:rPr>
          <w:rFonts w:ascii="Aptos" w:hAnsi="Aptos"/>
        </w:rPr>
        <w:t xml:space="preserve"> a Contract with </w:t>
      </w:r>
      <w:r w:rsidR="009E0495" w:rsidRPr="007617B0">
        <w:rPr>
          <w:rFonts w:ascii="Aptos" w:hAnsi="Aptos"/>
        </w:rPr>
        <w:t>OAT</w:t>
      </w:r>
      <w:r w:rsidRPr="007617B0">
        <w:rPr>
          <w:rFonts w:ascii="Aptos" w:hAnsi="Aptos"/>
        </w:rPr>
        <w:t>, it must rely on its own enquiries and on the terms and conditions set out in the Contract(s) (as and when finally executed), subject to the limitations and restrictions specified in it.</w:t>
      </w:r>
    </w:p>
    <w:p w14:paraId="1E3451EF" w14:textId="7F0653CF" w:rsidR="00DA147D" w:rsidRPr="007617B0" w:rsidRDefault="00DA147D" w:rsidP="00CA1A98">
      <w:pPr>
        <w:pStyle w:val="Parasubclause1"/>
        <w:rPr>
          <w:rFonts w:ascii="Aptos" w:hAnsi="Aptos"/>
        </w:rPr>
      </w:pPr>
      <w:r w:rsidRPr="007617B0">
        <w:rPr>
          <w:rFonts w:ascii="Aptos" w:hAnsi="Aptos"/>
        </w:rPr>
        <w:t xml:space="preserve">Neither the issue of this ITT, nor any of the information presented in it, should be regarded as a commitment or representation on the part of </w:t>
      </w:r>
      <w:r w:rsidR="009E0495" w:rsidRPr="007617B0">
        <w:rPr>
          <w:rFonts w:ascii="Aptos" w:hAnsi="Aptos"/>
        </w:rPr>
        <w:t>OAT</w:t>
      </w:r>
      <w:r w:rsidRPr="007617B0">
        <w:rPr>
          <w:rFonts w:ascii="Aptos" w:hAnsi="Aptos"/>
        </w:rPr>
        <w:t xml:space="preserve"> (or any other person) to </w:t>
      </w:r>
      <w:proofErr w:type="gramStart"/>
      <w:r w:rsidRPr="007617B0">
        <w:rPr>
          <w:rFonts w:ascii="Aptos" w:hAnsi="Aptos"/>
        </w:rPr>
        <w:t>enter into</w:t>
      </w:r>
      <w:proofErr w:type="gramEnd"/>
      <w:r w:rsidRPr="007617B0">
        <w:rPr>
          <w:rFonts w:ascii="Aptos" w:hAnsi="Aptos"/>
        </w:rPr>
        <w:t xml:space="preserve"> a contractual arrangement.</w:t>
      </w:r>
    </w:p>
    <w:p w14:paraId="5837EFBA" w14:textId="77777777" w:rsidR="00DA147D" w:rsidRPr="007617B0" w:rsidRDefault="00DA147D" w:rsidP="0043347C">
      <w:pPr>
        <w:pStyle w:val="Untitledsubclause1"/>
        <w:numPr>
          <w:ilvl w:val="1"/>
          <w:numId w:val="68"/>
        </w:numPr>
        <w:rPr>
          <w:rFonts w:ascii="Aptos" w:hAnsi="Aptos"/>
          <w:b/>
        </w:rPr>
      </w:pPr>
      <w:bookmarkStart w:id="197" w:name="a400850"/>
      <w:bookmarkStart w:id="198" w:name="_Toc208856268"/>
      <w:bookmarkStart w:id="199" w:name="_Toc208864901"/>
      <w:r w:rsidRPr="007617B0">
        <w:rPr>
          <w:rFonts w:ascii="Aptos" w:hAnsi="Aptos"/>
          <w:b/>
        </w:rPr>
        <w:t>Confidentiality and Freedom of Information</w:t>
      </w:r>
      <w:bookmarkEnd w:id="197"/>
      <w:bookmarkEnd w:id="198"/>
      <w:bookmarkEnd w:id="199"/>
    </w:p>
    <w:p w14:paraId="74F48B5C" w14:textId="4A2E4FAF" w:rsidR="00DA147D" w:rsidRPr="007617B0" w:rsidRDefault="00DA147D" w:rsidP="00CA1A98">
      <w:pPr>
        <w:pStyle w:val="Parasubclause1"/>
        <w:rPr>
          <w:rFonts w:ascii="Aptos" w:hAnsi="Aptos"/>
        </w:rPr>
      </w:pPr>
      <w:r w:rsidRPr="007617B0">
        <w:rPr>
          <w:rFonts w:ascii="Aptos" w:hAnsi="Aptos"/>
        </w:rPr>
        <w:t xml:space="preserve">All information supplied by </w:t>
      </w:r>
      <w:r w:rsidR="009E0495" w:rsidRPr="007617B0">
        <w:rPr>
          <w:rFonts w:ascii="Aptos" w:hAnsi="Aptos"/>
        </w:rPr>
        <w:t>OAT</w:t>
      </w:r>
      <w:r w:rsidRPr="007617B0">
        <w:rPr>
          <w:rFonts w:ascii="Aptos" w:hAnsi="Aptos"/>
        </w:rPr>
        <w:t xml:space="preserve"> to Tenderers (including this ITT and all other documents relating to the procurement), whether in writing or orally, is supplied on condition that it (including the fact that the Tenderer has received this ITT) be kept confidential by the Tenderer; it must not be copied, reproduced, distributed or passed to any other person at any time (except to professional advisors, consortium members or subcontractors for the sole purpose of enabling the Tenderer to submit a Tender) unless the information is already in the public domain.</w:t>
      </w:r>
    </w:p>
    <w:p w14:paraId="64932BA0" w14:textId="223EAFDD" w:rsidR="00DA147D" w:rsidRPr="007617B0" w:rsidRDefault="00DA147D" w:rsidP="00CA1A98">
      <w:pPr>
        <w:pStyle w:val="Parasubclause1"/>
        <w:rPr>
          <w:rFonts w:ascii="Aptos" w:hAnsi="Aptos"/>
        </w:rPr>
      </w:pPr>
      <w:r w:rsidRPr="007617B0">
        <w:rPr>
          <w:rFonts w:ascii="Aptos" w:hAnsi="Aptos"/>
        </w:rPr>
        <w:t xml:space="preserve">As a public body, </w:t>
      </w:r>
      <w:r w:rsidR="009E0495" w:rsidRPr="007617B0">
        <w:rPr>
          <w:rFonts w:ascii="Aptos" w:hAnsi="Aptos"/>
        </w:rPr>
        <w:t>OAT</w:t>
      </w:r>
      <w:r w:rsidRPr="007617B0">
        <w:rPr>
          <w:rFonts w:ascii="Aptos" w:hAnsi="Aptos"/>
        </w:rPr>
        <w:t xml:space="preserve"> is subject to the provisions of the Freedom of Information Act 2000 (FOIA) and Environmental Information Regulations 2004 (S</w:t>
      </w:r>
      <w:r w:rsidRPr="007617B0">
        <w:rPr>
          <w:rFonts w:ascii="Aptos" w:hAnsi="Aptos"/>
          <w:i/>
          <w:iCs/>
        </w:rPr>
        <w:t>I 2004/3391</w:t>
      </w:r>
      <w:r w:rsidRPr="007617B0">
        <w:rPr>
          <w:rFonts w:ascii="Aptos" w:hAnsi="Aptos"/>
        </w:rPr>
        <w:t>) (EIR) in respect of information it holds (including third party information). Any member of the public or other interested party may make a request for information.</w:t>
      </w:r>
      <w:r w:rsidR="005A4413" w:rsidRPr="007617B0">
        <w:rPr>
          <w:rFonts w:ascii="Aptos" w:hAnsi="Aptos"/>
        </w:rPr>
        <w:t xml:space="preserve"> </w:t>
      </w:r>
      <w:r w:rsidR="009E0495" w:rsidRPr="007617B0">
        <w:rPr>
          <w:rFonts w:ascii="Aptos" w:hAnsi="Aptos"/>
        </w:rPr>
        <w:t xml:space="preserve">OAT </w:t>
      </w:r>
      <w:r w:rsidRPr="007617B0">
        <w:rPr>
          <w:rFonts w:ascii="Aptos" w:hAnsi="Aptos"/>
        </w:rPr>
        <w:t xml:space="preserve">is also subject to various public sector transparency policies and legal requirements, including the placing of contract award notices </w:t>
      </w:r>
      <w:r w:rsidR="00EF5610" w:rsidRPr="007617B0">
        <w:rPr>
          <w:rFonts w:ascii="Aptos" w:hAnsi="Aptos"/>
        </w:rPr>
        <w:t>in accordance with the Act.</w:t>
      </w:r>
    </w:p>
    <w:p w14:paraId="7CFD85D8" w14:textId="60906AEF" w:rsidR="00DA147D" w:rsidRPr="007617B0" w:rsidRDefault="00DA147D" w:rsidP="00CA1A98">
      <w:pPr>
        <w:pStyle w:val="Parasubclause1"/>
        <w:rPr>
          <w:rFonts w:ascii="Aptos" w:hAnsi="Aptos"/>
        </w:rPr>
      </w:pPr>
      <w:r w:rsidRPr="007617B0">
        <w:rPr>
          <w:rFonts w:ascii="Aptos" w:hAnsi="Aptos"/>
        </w:rPr>
        <w:t xml:space="preserve">Tenderers should therefore be aware that information provided in connection with this procurement, or in connection with any contract awarded, may be disclosed by </w:t>
      </w:r>
      <w:r w:rsidR="009E0495" w:rsidRPr="007617B0">
        <w:rPr>
          <w:rFonts w:ascii="Aptos" w:hAnsi="Aptos"/>
        </w:rPr>
        <w:t>OAT</w:t>
      </w:r>
      <w:r w:rsidRPr="007617B0">
        <w:rPr>
          <w:rFonts w:ascii="Aptos" w:hAnsi="Aptos"/>
        </w:rPr>
        <w:t xml:space="preserve">, unless </w:t>
      </w:r>
      <w:r w:rsidR="009E0495" w:rsidRPr="007617B0">
        <w:rPr>
          <w:rFonts w:ascii="Aptos" w:hAnsi="Aptos"/>
        </w:rPr>
        <w:t>OAT</w:t>
      </w:r>
      <w:r w:rsidRPr="007617B0">
        <w:rPr>
          <w:rFonts w:ascii="Aptos" w:hAnsi="Aptos"/>
        </w:rPr>
        <w:t xml:space="preserve"> decides (in its absolute discretion) that one of the statutory exemptions under the FOIA or the EIR applies. Requests for information and application of any exemptions shall be considered on a case-by-case basis. By taking part in this procurement, Tenderers agree to such disclosure or publication by </w:t>
      </w:r>
      <w:r w:rsidR="009E0495" w:rsidRPr="007617B0">
        <w:rPr>
          <w:rFonts w:ascii="Aptos" w:hAnsi="Aptos"/>
        </w:rPr>
        <w:t>OAT</w:t>
      </w:r>
      <w:r w:rsidRPr="007617B0">
        <w:rPr>
          <w:rFonts w:ascii="Aptos" w:hAnsi="Aptos"/>
        </w:rPr>
        <w:t xml:space="preserve">. </w:t>
      </w:r>
    </w:p>
    <w:p w14:paraId="6BC921D7" w14:textId="5C961CAE" w:rsidR="002B4392" w:rsidRPr="00DE7308" w:rsidRDefault="00DA147D" w:rsidP="0043347C">
      <w:pPr>
        <w:pStyle w:val="Untitledsubclause1"/>
        <w:ind w:left="720"/>
        <w:rPr>
          <w:rFonts w:ascii="Aptos" w:hAnsi="Aptos"/>
          <w:b/>
        </w:rPr>
      </w:pPr>
      <w:bookmarkStart w:id="200" w:name="_Toc208856269"/>
      <w:bookmarkStart w:id="201" w:name="_Toc208864902"/>
      <w:r w:rsidRPr="00DE7308">
        <w:rPr>
          <w:rFonts w:ascii="Aptos" w:hAnsi="Aptos"/>
        </w:rPr>
        <w:t xml:space="preserve">Tenderers may designate any information supplied as part of their tender response or otherwise in connection with the procurement as confidential or commercially sensitive by clearly identifying it as such to </w:t>
      </w:r>
      <w:r w:rsidR="009E0495" w:rsidRPr="00DE7308">
        <w:rPr>
          <w:rFonts w:ascii="Aptos" w:hAnsi="Aptos"/>
        </w:rPr>
        <w:t>OAT</w:t>
      </w:r>
      <w:r w:rsidRPr="00DE7308">
        <w:rPr>
          <w:rFonts w:ascii="Aptos" w:hAnsi="Aptos"/>
        </w:rPr>
        <w:t xml:space="preserve"> in the template provided </w:t>
      </w:r>
      <w:r w:rsidR="008B57E7" w:rsidRPr="00DE7308">
        <w:rPr>
          <w:rFonts w:ascii="Aptos" w:hAnsi="Aptos"/>
        </w:rPr>
        <w:t>in this ITT</w:t>
      </w:r>
      <w:r w:rsidRPr="00DE7308">
        <w:rPr>
          <w:rFonts w:ascii="Aptos" w:hAnsi="Aptos"/>
          <w:color w:val="FF0000"/>
        </w:rPr>
        <w:t xml:space="preserve">. </w:t>
      </w:r>
      <w:r w:rsidRPr="00DE7308">
        <w:rPr>
          <w:rFonts w:ascii="Aptos" w:hAnsi="Aptos"/>
        </w:rPr>
        <w:t xml:space="preserve">Blanket protective </w:t>
      </w:r>
      <w:r w:rsidRPr="00DE7308">
        <w:rPr>
          <w:rFonts w:ascii="Aptos" w:hAnsi="Aptos"/>
        </w:rPr>
        <w:lastRenderedPageBreak/>
        <w:t xml:space="preserve">markings applied to the whole document will not be sufficient. While designating material as confidential or commercially sensitive or equivalent does not guarantee non-disclosure, </w:t>
      </w:r>
      <w:r w:rsidR="009E0495" w:rsidRPr="00DE7308">
        <w:rPr>
          <w:rFonts w:ascii="Aptos" w:hAnsi="Aptos"/>
        </w:rPr>
        <w:t>OAT</w:t>
      </w:r>
      <w:r w:rsidRPr="00DE7308">
        <w:rPr>
          <w:rFonts w:ascii="Aptos" w:hAnsi="Aptos"/>
        </w:rPr>
        <w:t xml:space="preserve"> will consider this as part of any disclosure decision.</w:t>
      </w:r>
      <w:bookmarkStart w:id="202" w:name="a877464"/>
      <w:bookmarkEnd w:id="200"/>
      <w:bookmarkEnd w:id="201"/>
    </w:p>
    <w:p w14:paraId="3198A7C7" w14:textId="01CFC84D" w:rsidR="00DA147D" w:rsidRPr="007617B0" w:rsidRDefault="00DA147D" w:rsidP="0043347C">
      <w:pPr>
        <w:pStyle w:val="TitleClause"/>
        <w:numPr>
          <w:ilvl w:val="0"/>
          <w:numId w:val="66"/>
        </w:numPr>
        <w:rPr>
          <w:rFonts w:ascii="Aptos" w:hAnsi="Aptos"/>
        </w:rPr>
      </w:pPr>
      <w:bookmarkStart w:id="203" w:name="a1029112"/>
      <w:bookmarkStart w:id="204" w:name="_Toc192620509"/>
      <w:bookmarkStart w:id="205" w:name="_Toc208864903"/>
      <w:bookmarkEnd w:id="202"/>
      <w:r w:rsidRPr="007617B0">
        <w:rPr>
          <w:rFonts w:ascii="Aptos" w:hAnsi="Aptos"/>
        </w:rPr>
        <w:t>Tender evaluation model</w:t>
      </w:r>
      <w:bookmarkEnd w:id="203"/>
      <w:bookmarkEnd w:id="204"/>
      <w:bookmarkEnd w:id="205"/>
    </w:p>
    <w:p w14:paraId="410C3D7B" w14:textId="77777777" w:rsidR="00FB34F4" w:rsidRPr="00FB34F4" w:rsidRDefault="00FB34F4" w:rsidP="00FB34F4">
      <w:pPr>
        <w:pStyle w:val="ListParagraph"/>
        <w:numPr>
          <w:ilvl w:val="0"/>
          <w:numId w:val="68"/>
        </w:numPr>
        <w:spacing w:before="280" w:line="300" w:lineRule="atLeast"/>
        <w:contextualSpacing w:val="0"/>
        <w:jc w:val="both"/>
        <w:outlineLvl w:val="1"/>
        <w:rPr>
          <w:rFonts w:ascii="Aptos" w:eastAsia="Arial Unicode MS" w:hAnsi="Aptos" w:cs="Arial"/>
          <w:b/>
          <w:vanish/>
        </w:rPr>
      </w:pPr>
      <w:bookmarkStart w:id="206" w:name="_Toc208864904"/>
      <w:bookmarkStart w:id="207" w:name="_Toc208856271"/>
      <w:bookmarkEnd w:id="206"/>
    </w:p>
    <w:p w14:paraId="48693CD5" w14:textId="0EB496DC" w:rsidR="00DA147D" w:rsidRPr="007617B0" w:rsidRDefault="008A3329" w:rsidP="0043347C">
      <w:pPr>
        <w:pStyle w:val="Untitledsubclause1"/>
        <w:numPr>
          <w:ilvl w:val="1"/>
          <w:numId w:val="68"/>
        </w:numPr>
        <w:rPr>
          <w:rFonts w:ascii="Aptos" w:hAnsi="Aptos"/>
          <w:b/>
        </w:rPr>
      </w:pPr>
      <w:bookmarkStart w:id="208" w:name="_Toc208864905"/>
      <w:r w:rsidRPr="007617B0">
        <w:rPr>
          <w:rFonts w:ascii="Aptos" w:hAnsi="Aptos"/>
          <w:b/>
        </w:rPr>
        <w:t>Assessment Process and Award Criteria</w:t>
      </w:r>
      <w:bookmarkEnd w:id="207"/>
      <w:bookmarkEnd w:id="208"/>
    </w:p>
    <w:p w14:paraId="3192A69C" w14:textId="30D3412B" w:rsidR="006E3CE9" w:rsidRDefault="00F23D6B" w:rsidP="002B4392">
      <w:pPr>
        <w:spacing w:after="0" w:line="240" w:lineRule="auto"/>
        <w:ind w:left="720"/>
        <w:rPr>
          <w:rFonts w:ascii="Aptos" w:hAnsi="Aptos" w:cstheme="minorHAnsi"/>
        </w:rPr>
      </w:pPr>
      <w:bookmarkStart w:id="209" w:name="a322035"/>
      <w:r w:rsidRPr="00EF5D9E">
        <w:rPr>
          <w:rFonts w:ascii="Aptos" w:hAnsi="Aptos" w:cstheme="minorHAnsi"/>
        </w:rPr>
        <w:t xml:space="preserve">Any </w:t>
      </w:r>
      <w:r w:rsidR="00414D0B" w:rsidRPr="00EF5D9E">
        <w:rPr>
          <w:rFonts w:ascii="Aptos" w:hAnsi="Aptos" w:cstheme="minorHAnsi"/>
        </w:rPr>
        <w:t xml:space="preserve">Framework </w:t>
      </w:r>
      <w:r w:rsidRPr="00EF5D9E">
        <w:rPr>
          <w:rFonts w:ascii="Aptos" w:hAnsi="Aptos" w:cstheme="minorHAnsi"/>
        </w:rPr>
        <w:t xml:space="preserve">Contract(s) awarded </w:t>
      </w:r>
      <w:proofErr w:type="gramStart"/>
      <w:r w:rsidRPr="00EF5D9E">
        <w:rPr>
          <w:rFonts w:ascii="Aptos" w:hAnsi="Aptos" w:cstheme="minorHAnsi"/>
        </w:rPr>
        <w:t>as a result of</w:t>
      </w:r>
      <w:proofErr w:type="gramEnd"/>
      <w:r w:rsidRPr="00EF5D9E">
        <w:rPr>
          <w:rFonts w:ascii="Aptos" w:hAnsi="Aptos" w:cstheme="minorHAnsi"/>
        </w:rPr>
        <w:t xml:space="preserve"> this procurement will be awarded on the basis of the offer that is the most advantageous to OAT.  </w:t>
      </w:r>
    </w:p>
    <w:p w14:paraId="68EDFDDC" w14:textId="77777777" w:rsidR="00EF5D9E" w:rsidRDefault="00EF5D9E" w:rsidP="002B4392">
      <w:pPr>
        <w:spacing w:after="0" w:line="240" w:lineRule="auto"/>
        <w:ind w:left="720"/>
        <w:rPr>
          <w:rFonts w:ascii="Aptos" w:hAnsi="Aptos" w:cstheme="minorHAnsi"/>
        </w:rPr>
      </w:pPr>
    </w:p>
    <w:p w14:paraId="2550B049" w14:textId="3188CAFA" w:rsidR="00EF5D9E" w:rsidRPr="00C56A8E" w:rsidRDefault="00C56A8E" w:rsidP="002B4392">
      <w:pPr>
        <w:spacing w:after="0" w:line="240" w:lineRule="auto"/>
        <w:ind w:left="720"/>
        <w:rPr>
          <w:rFonts w:ascii="Aptos" w:hAnsi="Aptos" w:cstheme="minorHAnsi"/>
        </w:rPr>
      </w:pPr>
      <w:r w:rsidRPr="00C56A8E">
        <w:rPr>
          <w:rFonts w:ascii="Aptos" w:hAnsi="Aptos" w:cstheme="minorHAnsi"/>
        </w:rPr>
        <w:t xml:space="preserve">This tender is structured in one stage comprising a </w:t>
      </w:r>
      <w:r w:rsidR="00802CD9">
        <w:rPr>
          <w:rFonts w:ascii="Aptos" w:hAnsi="Aptos" w:cstheme="minorHAnsi"/>
        </w:rPr>
        <w:t>P</w:t>
      </w:r>
      <w:r w:rsidR="00802CD9" w:rsidRPr="00C607E9">
        <w:rPr>
          <w:rFonts w:ascii="Aptos" w:hAnsi="Aptos" w:cstheme="minorHAnsi"/>
        </w:rPr>
        <w:t xml:space="preserve">rocurement </w:t>
      </w:r>
      <w:r w:rsidR="00802CD9">
        <w:rPr>
          <w:rFonts w:ascii="Aptos" w:hAnsi="Aptos" w:cstheme="minorHAnsi"/>
        </w:rPr>
        <w:t>S</w:t>
      </w:r>
      <w:r w:rsidR="00802CD9" w:rsidRPr="00C607E9">
        <w:rPr>
          <w:rFonts w:ascii="Aptos" w:hAnsi="Aptos" w:cstheme="minorHAnsi"/>
        </w:rPr>
        <w:t xml:space="preserve">pecific </w:t>
      </w:r>
      <w:r w:rsidR="00802CD9">
        <w:rPr>
          <w:rFonts w:ascii="Aptos" w:hAnsi="Aptos" w:cstheme="minorHAnsi"/>
        </w:rPr>
        <w:t>Q</w:t>
      </w:r>
      <w:r w:rsidR="00802CD9" w:rsidRPr="00C607E9">
        <w:rPr>
          <w:rFonts w:ascii="Aptos" w:hAnsi="Aptos" w:cstheme="minorHAnsi"/>
        </w:rPr>
        <w:t xml:space="preserve">uestionnaire </w:t>
      </w:r>
      <w:r w:rsidR="00802CD9" w:rsidRPr="00802CD9">
        <w:rPr>
          <w:rFonts w:ascii="Aptos" w:hAnsi="Aptos" w:cstheme="minorHAnsi"/>
        </w:rPr>
        <w:t>(</w:t>
      </w:r>
      <w:r w:rsidR="00802CD9" w:rsidRPr="00802CD9">
        <w:t>PSQ</w:t>
      </w:r>
      <w:r w:rsidR="00802CD9" w:rsidRPr="00802CD9">
        <w:rPr>
          <w:rFonts w:ascii="Aptos" w:hAnsi="Aptos" w:cstheme="minorHAnsi"/>
        </w:rPr>
        <w:t xml:space="preserve">) </w:t>
      </w:r>
      <w:r w:rsidR="00802CD9">
        <w:rPr>
          <w:rFonts w:ascii="Aptos" w:hAnsi="Aptos" w:cstheme="minorHAnsi"/>
        </w:rPr>
        <w:t>stage</w:t>
      </w:r>
      <w:r w:rsidR="0072365F">
        <w:rPr>
          <w:rFonts w:ascii="Aptos" w:hAnsi="Aptos" w:cstheme="minorHAnsi"/>
        </w:rPr>
        <w:t xml:space="preserve">, containing various mandatory requirements </w:t>
      </w:r>
      <w:r w:rsidRPr="00C56A8E">
        <w:rPr>
          <w:rFonts w:ascii="Aptos" w:hAnsi="Aptos" w:cstheme="minorHAnsi"/>
        </w:rPr>
        <w:t xml:space="preserve">and a subsequent Award Stage </w:t>
      </w:r>
      <w:r w:rsidR="00741514">
        <w:rPr>
          <w:rFonts w:ascii="Aptos" w:hAnsi="Aptos" w:cstheme="minorHAnsi"/>
        </w:rPr>
        <w:t>(which scores responses against various quality</w:t>
      </w:r>
      <w:r w:rsidR="00D30355">
        <w:rPr>
          <w:rFonts w:ascii="Aptos" w:hAnsi="Aptos" w:cstheme="minorHAnsi"/>
        </w:rPr>
        <w:t>/technical</w:t>
      </w:r>
      <w:r w:rsidR="00741514">
        <w:rPr>
          <w:rFonts w:ascii="Aptos" w:hAnsi="Aptos" w:cstheme="minorHAnsi"/>
        </w:rPr>
        <w:t xml:space="preserve"> and </w:t>
      </w:r>
      <w:r w:rsidR="0008716E">
        <w:rPr>
          <w:rFonts w:ascii="Aptos" w:hAnsi="Aptos" w:cstheme="minorHAnsi"/>
        </w:rPr>
        <w:t>commercial</w:t>
      </w:r>
      <w:r w:rsidR="00696193">
        <w:rPr>
          <w:rFonts w:ascii="Aptos" w:hAnsi="Aptos" w:cstheme="minorHAnsi"/>
        </w:rPr>
        <w:t xml:space="preserve"> criteria</w:t>
      </w:r>
      <w:r w:rsidR="004C20F5">
        <w:rPr>
          <w:rFonts w:ascii="Aptos" w:hAnsi="Aptos" w:cstheme="minorHAnsi"/>
        </w:rPr>
        <w:t>)</w:t>
      </w:r>
      <w:r w:rsidRPr="00C56A8E">
        <w:rPr>
          <w:rFonts w:ascii="Aptos" w:hAnsi="Aptos" w:cstheme="minorHAnsi"/>
        </w:rPr>
        <w:t xml:space="preserve">. </w:t>
      </w:r>
      <w:r w:rsidR="004C20F5">
        <w:rPr>
          <w:rFonts w:ascii="Aptos" w:hAnsi="Aptos" w:cstheme="minorHAnsi"/>
        </w:rPr>
        <w:br/>
      </w:r>
      <w:r w:rsidR="00696193">
        <w:rPr>
          <w:rFonts w:ascii="Aptos" w:hAnsi="Aptos" w:cstheme="minorHAnsi"/>
        </w:rPr>
        <w:t>The PSQ stage is a</w:t>
      </w:r>
      <w:r w:rsidRPr="00C56A8E">
        <w:rPr>
          <w:rFonts w:ascii="Aptos" w:hAnsi="Aptos" w:cstheme="minorHAnsi"/>
        </w:rPr>
        <w:t xml:space="preserve"> gated process and</w:t>
      </w:r>
      <w:r w:rsidR="007F09DE">
        <w:rPr>
          <w:rFonts w:ascii="Aptos" w:hAnsi="Aptos" w:cstheme="minorHAnsi"/>
        </w:rPr>
        <w:t>,</w:t>
      </w:r>
      <w:r w:rsidRPr="00C56A8E">
        <w:rPr>
          <w:rFonts w:ascii="Aptos" w:hAnsi="Aptos" w:cstheme="minorHAnsi"/>
        </w:rPr>
        <w:t xml:space="preserve"> as such</w:t>
      </w:r>
      <w:r w:rsidR="007F09DE">
        <w:rPr>
          <w:rFonts w:ascii="Aptos" w:hAnsi="Aptos" w:cstheme="minorHAnsi"/>
        </w:rPr>
        <w:t>,</w:t>
      </w:r>
      <w:r w:rsidRPr="00C56A8E">
        <w:rPr>
          <w:rFonts w:ascii="Aptos" w:hAnsi="Aptos" w:cstheme="minorHAnsi"/>
        </w:rPr>
        <w:t xml:space="preserve"> Tenderers will need to pass the mandatory and minimum elements of the </w:t>
      </w:r>
      <w:r w:rsidR="00696193">
        <w:rPr>
          <w:rFonts w:ascii="Aptos" w:hAnsi="Aptos" w:cstheme="minorHAnsi"/>
        </w:rPr>
        <w:t>P</w:t>
      </w:r>
      <w:r w:rsidRPr="00C56A8E">
        <w:rPr>
          <w:rFonts w:ascii="Aptos" w:hAnsi="Aptos" w:cstheme="minorHAnsi"/>
        </w:rPr>
        <w:t>SQ stage before being eligible to for the final Award stage evaluation that will determine the successful candidates.</w:t>
      </w:r>
    </w:p>
    <w:p w14:paraId="6786034C" w14:textId="67C9536F" w:rsidR="00F23D6B" w:rsidRPr="009C656B" w:rsidRDefault="00F23D6B" w:rsidP="00F23D6B">
      <w:pPr>
        <w:pStyle w:val="Parasubclause1"/>
        <w:rPr>
          <w:rFonts w:ascii="Aptos" w:hAnsi="Aptos" w:cstheme="minorHAnsi"/>
        </w:rPr>
      </w:pPr>
      <w:r w:rsidRPr="009C656B">
        <w:rPr>
          <w:rFonts w:ascii="Aptos" w:hAnsi="Aptos" w:cstheme="minorHAnsi"/>
        </w:rPr>
        <w:t>The Award Criteria (</w:t>
      </w:r>
      <w:r w:rsidRPr="009C656B">
        <w:rPr>
          <w:rFonts w:ascii="Aptos" w:hAnsi="Aptos" w:cstheme="minorHAnsi"/>
          <w:b/>
        </w:rPr>
        <w:t>Award Criteria</w:t>
      </w:r>
      <w:r w:rsidRPr="009C656B">
        <w:rPr>
          <w:rFonts w:ascii="Aptos" w:hAnsi="Aptos" w:cstheme="minorHAnsi"/>
        </w:rPr>
        <w:t>) are:</w:t>
      </w:r>
    </w:p>
    <w:p w14:paraId="1B396B14" w14:textId="659CD885" w:rsidR="00F23D6B" w:rsidRPr="00D54FD0" w:rsidRDefault="0064104C" w:rsidP="00F23D6B">
      <w:pPr>
        <w:pStyle w:val="subclause1Bullet1"/>
        <w:rPr>
          <w:rFonts w:ascii="Aptos" w:hAnsi="Aptos" w:cstheme="minorHAnsi"/>
        </w:rPr>
      </w:pPr>
      <w:r>
        <w:rPr>
          <w:rFonts w:ascii="Aptos" w:hAnsi="Aptos" w:cstheme="minorHAnsi"/>
        </w:rPr>
        <w:t>9</w:t>
      </w:r>
      <w:r w:rsidR="00C54A59" w:rsidRPr="00D54FD0">
        <w:rPr>
          <w:rFonts w:ascii="Aptos" w:hAnsi="Aptos" w:cstheme="minorHAnsi"/>
        </w:rPr>
        <w:t>0</w:t>
      </w:r>
      <w:r w:rsidR="00F23D6B" w:rsidRPr="00D54FD0">
        <w:rPr>
          <w:rFonts w:ascii="Aptos" w:hAnsi="Aptos" w:cstheme="minorHAnsi"/>
        </w:rPr>
        <w:t>% technical</w:t>
      </w:r>
      <w:r w:rsidR="00D30355" w:rsidRPr="00D54FD0">
        <w:rPr>
          <w:rFonts w:ascii="Aptos" w:hAnsi="Aptos" w:cstheme="minorHAnsi"/>
        </w:rPr>
        <w:t>/</w:t>
      </w:r>
      <w:r w:rsidR="00F23D6B" w:rsidRPr="00D54FD0">
        <w:rPr>
          <w:rFonts w:ascii="Aptos" w:hAnsi="Aptos" w:cstheme="minorHAnsi"/>
        </w:rPr>
        <w:t>quality.</w:t>
      </w:r>
    </w:p>
    <w:p w14:paraId="04CDAA66" w14:textId="0CCFDC4F" w:rsidR="00F23D6B" w:rsidRPr="00D54FD0" w:rsidRDefault="0064104C" w:rsidP="00F23D6B">
      <w:pPr>
        <w:pStyle w:val="subclause1Bullet1"/>
        <w:rPr>
          <w:rFonts w:ascii="Aptos" w:hAnsi="Aptos" w:cstheme="minorHAnsi"/>
        </w:rPr>
      </w:pPr>
      <w:r>
        <w:rPr>
          <w:rFonts w:ascii="Aptos" w:hAnsi="Aptos" w:cstheme="minorHAnsi"/>
        </w:rPr>
        <w:t>1</w:t>
      </w:r>
      <w:r w:rsidR="00C54A59" w:rsidRPr="00D54FD0">
        <w:rPr>
          <w:rFonts w:ascii="Aptos" w:hAnsi="Aptos" w:cstheme="minorHAnsi"/>
        </w:rPr>
        <w:t>0</w:t>
      </w:r>
      <w:r w:rsidR="00F23D6B" w:rsidRPr="00D54FD0">
        <w:rPr>
          <w:rFonts w:ascii="Aptos" w:hAnsi="Aptos" w:cstheme="minorHAnsi"/>
        </w:rPr>
        <w:t xml:space="preserve">% </w:t>
      </w:r>
      <w:r w:rsidR="0008716E">
        <w:rPr>
          <w:rFonts w:ascii="Aptos" w:hAnsi="Aptos" w:cstheme="minorHAnsi"/>
        </w:rPr>
        <w:t>commercial</w:t>
      </w:r>
      <w:r w:rsidR="00F23D6B" w:rsidRPr="00D54FD0">
        <w:rPr>
          <w:rFonts w:ascii="Aptos" w:hAnsi="Aptos" w:cstheme="minorHAnsi"/>
        </w:rPr>
        <w:t>.</w:t>
      </w:r>
    </w:p>
    <w:p w14:paraId="610EAD25" w14:textId="77777777" w:rsidR="00F23D6B" w:rsidRPr="00D54FD0" w:rsidRDefault="00F23D6B" w:rsidP="00F23D6B">
      <w:pPr>
        <w:pStyle w:val="Parasubclause1"/>
        <w:rPr>
          <w:rFonts w:ascii="Aptos" w:hAnsi="Aptos" w:cstheme="minorHAnsi"/>
        </w:rPr>
      </w:pPr>
      <w:r w:rsidRPr="00D54FD0">
        <w:rPr>
          <w:rFonts w:ascii="Aptos" w:hAnsi="Aptos" w:cstheme="minorHAnsi"/>
        </w:rPr>
        <w:t>Scores are arrived at following the application of the Evaluation Criteria (</w:t>
      </w:r>
      <w:r w:rsidRPr="00D54FD0">
        <w:rPr>
          <w:rFonts w:ascii="Aptos" w:hAnsi="Aptos" w:cstheme="minorHAnsi"/>
          <w:b/>
        </w:rPr>
        <w:t>Evaluation Criteria</w:t>
      </w:r>
      <w:r w:rsidRPr="00D54FD0">
        <w:rPr>
          <w:rFonts w:ascii="Aptos" w:hAnsi="Aptos" w:cstheme="minorHAnsi"/>
        </w:rPr>
        <w:t>) set out below to the Tenderer's Tender.</w:t>
      </w:r>
    </w:p>
    <w:p w14:paraId="0B155716" w14:textId="77777777" w:rsidR="00F23D6B" w:rsidRPr="00D54FD0" w:rsidRDefault="00F23D6B" w:rsidP="00F23D6B">
      <w:pPr>
        <w:pStyle w:val="Parasubclause1"/>
        <w:rPr>
          <w:rFonts w:ascii="Aptos" w:hAnsi="Aptos" w:cstheme="minorHAnsi"/>
        </w:rPr>
      </w:pPr>
      <w:r w:rsidRPr="00D54FD0">
        <w:rPr>
          <w:rFonts w:ascii="Aptos" w:hAnsi="Aptos" w:cstheme="minorHAnsi"/>
        </w:rPr>
        <w:t>Tenderers are required to submit a Tender strictly in accordance with the requirements set out in this ITT, to ensure OAT has the correct information to make the evaluation. Evasive, unclear or hedged Tenders may be discounted in evaluation and may, at the OAT’s discretion, be taken as a rejection by the Tenderer of the terms set out in this ITT.</w:t>
      </w:r>
    </w:p>
    <w:p w14:paraId="4CBA9705" w14:textId="0A6097C0" w:rsidR="00F23D6B" w:rsidRPr="00D54FD0" w:rsidRDefault="00F23D6B" w:rsidP="00F23D6B">
      <w:pPr>
        <w:pStyle w:val="Parasubclause1"/>
        <w:rPr>
          <w:rFonts w:ascii="Aptos" w:hAnsi="Aptos" w:cstheme="minorHAnsi"/>
        </w:rPr>
      </w:pPr>
      <w:r w:rsidRPr="00D54FD0">
        <w:rPr>
          <w:rFonts w:ascii="Aptos" w:hAnsi="Aptos" w:cstheme="minorHAnsi"/>
        </w:rPr>
        <w:t xml:space="preserve">The Tender Evaluation Model showing the Evaluation Criteria and the maximum scores attributable to them is set out below. </w:t>
      </w:r>
    </w:p>
    <w:p w14:paraId="2D408537" w14:textId="0FF85A95" w:rsidR="00F23D6B" w:rsidRPr="0043347C" w:rsidRDefault="00F23D6B" w:rsidP="00F23D6B">
      <w:pPr>
        <w:pStyle w:val="Parasubclause1"/>
        <w:rPr>
          <w:rFonts w:ascii="Aptos" w:hAnsi="Aptos" w:cstheme="minorHAnsi"/>
        </w:rPr>
      </w:pPr>
      <w:r w:rsidRPr="0043347C">
        <w:rPr>
          <w:rFonts w:ascii="Aptos" w:hAnsi="Aptos" w:cstheme="minorHAnsi"/>
        </w:rPr>
        <w:t>Where specified, a minimum pass mark (</w:t>
      </w:r>
      <w:r w:rsidRPr="0043347C">
        <w:rPr>
          <w:rStyle w:val="DefTerm"/>
          <w:rFonts w:ascii="Aptos" w:hAnsi="Aptos" w:cstheme="minorHAnsi"/>
        </w:rPr>
        <w:t>Threshold</w:t>
      </w:r>
      <w:r w:rsidRPr="0043347C">
        <w:rPr>
          <w:rFonts w:ascii="Aptos" w:hAnsi="Aptos" w:cstheme="minorHAnsi"/>
        </w:rPr>
        <w:t>) applies to the Evaluation Criteria. OAT shall reject any Tender which does not meet the relevant Threshold in respect of one or more criteria.</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600"/>
        <w:gridCol w:w="1571"/>
        <w:gridCol w:w="1493"/>
        <w:gridCol w:w="1388"/>
        <w:gridCol w:w="2288"/>
      </w:tblGrid>
      <w:tr w:rsidR="00EC118C" w:rsidRPr="007617B0" w14:paraId="6E549949"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1F436620" w14:textId="77777777" w:rsidR="00EC118C" w:rsidRPr="00FF51EA" w:rsidRDefault="00EC118C">
            <w:pPr>
              <w:pStyle w:val="Paragraph"/>
              <w:jc w:val="left"/>
              <w:rPr>
                <w:rFonts w:ascii="Aptos" w:hAnsi="Aptos" w:cstheme="minorHAnsi"/>
                <w:b/>
              </w:rPr>
            </w:pPr>
            <w:r w:rsidRPr="00FF51EA">
              <w:rPr>
                <w:rFonts w:ascii="Aptos" w:hAnsi="Aptos" w:cstheme="minorHAnsi"/>
                <w:b/>
              </w:rPr>
              <w:t>Evaluation Criteria: Commercial</w:t>
            </w:r>
          </w:p>
        </w:tc>
        <w:tc>
          <w:tcPr>
            <w:tcW w:w="841" w:type="pct"/>
            <w:tcBorders>
              <w:top w:val="single" w:sz="8" w:space="0" w:color="000000"/>
              <w:left w:val="single" w:sz="8" w:space="0" w:color="000000"/>
              <w:bottom w:val="single" w:sz="8" w:space="0" w:color="000000"/>
              <w:right w:val="single" w:sz="8" w:space="0" w:color="000000"/>
            </w:tcBorders>
            <w:vAlign w:val="center"/>
          </w:tcPr>
          <w:p w14:paraId="77B1969D" w14:textId="45B7B123" w:rsidR="00EC118C" w:rsidRPr="0043347C" w:rsidRDefault="00EC118C" w:rsidP="0043347C">
            <w:pPr>
              <w:pStyle w:val="Paragraph"/>
              <w:jc w:val="center"/>
              <w:rPr>
                <w:rFonts w:ascii="Aptos" w:hAnsi="Aptos" w:cstheme="minorHAnsi"/>
                <w:b/>
              </w:rPr>
            </w:pPr>
            <w:r w:rsidRPr="0043347C">
              <w:rPr>
                <w:rFonts w:ascii="Aptos" w:hAnsi="Aptos" w:cstheme="minorHAnsi"/>
                <w:b/>
              </w:rPr>
              <w:t>Threshold %</w:t>
            </w:r>
          </w:p>
        </w:tc>
        <w:tc>
          <w:tcPr>
            <w:tcW w:w="799" w:type="pct"/>
            <w:tcBorders>
              <w:top w:val="single" w:sz="8" w:space="0" w:color="000000"/>
              <w:left w:val="single" w:sz="8" w:space="0" w:color="000000"/>
              <w:bottom w:val="single" w:sz="8" w:space="0" w:color="000000"/>
              <w:right w:val="single" w:sz="8" w:space="0" w:color="000000"/>
            </w:tcBorders>
            <w:vAlign w:val="center"/>
          </w:tcPr>
          <w:p w14:paraId="72EBFFB1" w14:textId="034CDC32" w:rsidR="00EC118C" w:rsidRPr="00FF51EA" w:rsidRDefault="00EC118C" w:rsidP="0043347C">
            <w:pPr>
              <w:pStyle w:val="Paragraph"/>
              <w:jc w:val="center"/>
              <w:rPr>
                <w:rFonts w:ascii="Aptos" w:hAnsi="Aptos" w:cstheme="minorHAnsi"/>
                <w:b/>
              </w:rPr>
            </w:pPr>
            <w:r w:rsidRPr="00FF51EA">
              <w:rPr>
                <w:rFonts w:ascii="Aptos" w:hAnsi="Aptos" w:cstheme="minorHAnsi"/>
                <w:b/>
              </w:rPr>
              <w:t>Weightin</w:t>
            </w:r>
            <w:r>
              <w:rPr>
                <w:rFonts w:ascii="Aptos" w:hAnsi="Aptos" w:cstheme="minorHAnsi"/>
                <w:b/>
              </w:rPr>
              <w:t>g %</w:t>
            </w:r>
          </w:p>
        </w:tc>
        <w:tc>
          <w:tcPr>
            <w:tcW w:w="743" w:type="pct"/>
            <w:tcBorders>
              <w:top w:val="single" w:sz="8" w:space="0" w:color="000000"/>
              <w:left w:val="single" w:sz="8" w:space="0" w:color="000000"/>
              <w:bottom w:val="single" w:sz="8" w:space="0" w:color="000000"/>
              <w:right w:val="single" w:sz="8" w:space="0" w:color="000000"/>
            </w:tcBorders>
            <w:vAlign w:val="center"/>
          </w:tcPr>
          <w:p w14:paraId="62BD107A" w14:textId="11EDD539" w:rsidR="00EC118C" w:rsidRPr="00FF51EA" w:rsidRDefault="00EC118C" w:rsidP="0043347C">
            <w:pPr>
              <w:pStyle w:val="Paragraph"/>
              <w:jc w:val="center"/>
              <w:rPr>
                <w:rFonts w:ascii="Aptos" w:hAnsi="Aptos" w:cstheme="minorHAnsi"/>
                <w:b/>
              </w:rPr>
            </w:pPr>
            <w:r>
              <w:rPr>
                <w:rFonts w:ascii="Aptos" w:hAnsi="Aptos" w:cstheme="minorHAnsi"/>
                <w:b/>
              </w:rPr>
              <w:t>Max % available</w:t>
            </w:r>
          </w:p>
        </w:tc>
        <w:tc>
          <w:tcPr>
            <w:tcW w:w="1225" w:type="pct"/>
            <w:tcBorders>
              <w:top w:val="single" w:sz="8" w:space="0" w:color="000000"/>
              <w:left w:val="single" w:sz="8" w:space="0" w:color="000000"/>
              <w:bottom w:val="single" w:sz="8" w:space="0" w:color="000000"/>
              <w:right w:val="single" w:sz="8" w:space="0" w:color="000000"/>
            </w:tcBorders>
            <w:vAlign w:val="center"/>
          </w:tcPr>
          <w:p w14:paraId="0A2DF6CF" w14:textId="77777777" w:rsidR="00EC118C" w:rsidRPr="0043347C" w:rsidRDefault="00EC118C" w:rsidP="0043347C">
            <w:pPr>
              <w:pStyle w:val="Paragraph"/>
              <w:jc w:val="center"/>
              <w:rPr>
                <w:rFonts w:ascii="Aptos" w:hAnsi="Aptos" w:cstheme="minorHAnsi"/>
                <w:b/>
              </w:rPr>
            </w:pPr>
            <w:r w:rsidRPr="0043347C">
              <w:rPr>
                <w:rFonts w:ascii="Aptos" w:hAnsi="Aptos" w:cstheme="minorHAnsi"/>
                <w:b/>
              </w:rPr>
              <w:t>Means of evaluation</w:t>
            </w:r>
          </w:p>
        </w:tc>
      </w:tr>
      <w:tr w:rsidR="009443C4" w:rsidRPr="007617B0" w14:paraId="61846165"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32499758" w14:textId="77062C23" w:rsidR="009443C4" w:rsidRPr="00FF51EA" w:rsidRDefault="009443C4" w:rsidP="0043347C">
            <w:pPr>
              <w:pStyle w:val="Paragraph"/>
              <w:jc w:val="center"/>
              <w:rPr>
                <w:rFonts w:ascii="Aptos" w:hAnsi="Aptos" w:cstheme="minorHAnsi"/>
              </w:rPr>
            </w:pPr>
            <w:r w:rsidRPr="00FF51EA">
              <w:rPr>
                <w:rFonts w:ascii="Aptos" w:hAnsi="Aptos" w:cstheme="minorHAnsi"/>
              </w:rPr>
              <w:t xml:space="preserve">PE2 – Gross </w:t>
            </w:r>
            <w:r w:rsidR="001A5B14">
              <w:rPr>
                <w:rFonts w:ascii="Aptos" w:hAnsi="Aptos" w:cstheme="minorHAnsi"/>
              </w:rPr>
              <w:t>P</w:t>
            </w:r>
            <w:r w:rsidRPr="00FF51EA">
              <w:rPr>
                <w:rFonts w:ascii="Aptos" w:hAnsi="Aptos" w:cstheme="minorHAnsi"/>
              </w:rPr>
              <w:t>rofit</w:t>
            </w:r>
            <w:r w:rsidR="001A5B14">
              <w:rPr>
                <w:rFonts w:ascii="Aptos" w:hAnsi="Aptos" w:cstheme="minorHAnsi"/>
              </w:rPr>
              <w:t xml:space="preserve"> Monitoring and Control</w:t>
            </w:r>
          </w:p>
        </w:tc>
        <w:tc>
          <w:tcPr>
            <w:tcW w:w="841" w:type="pct"/>
            <w:tcBorders>
              <w:top w:val="single" w:sz="8" w:space="0" w:color="000000"/>
              <w:left w:val="single" w:sz="8" w:space="0" w:color="000000"/>
              <w:bottom w:val="single" w:sz="8" w:space="0" w:color="000000"/>
              <w:right w:val="single" w:sz="8" w:space="0" w:color="000000"/>
            </w:tcBorders>
            <w:vAlign w:val="center"/>
          </w:tcPr>
          <w:p w14:paraId="4C3FD9CB" w14:textId="1C2556EE"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799" w:type="pct"/>
            <w:tcBorders>
              <w:top w:val="single" w:sz="8" w:space="0" w:color="000000"/>
              <w:left w:val="single" w:sz="8" w:space="0" w:color="000000"/>
              <w:bottom w:val="single" w:sz="8" w:space="0" w:color="000000"/>
              <w:right w:val="single" w:sz="8" w:space="0" w:color="000000"/>
            </w:tcBorders>
            <w:vAlign w:val="center"/>
          </w:tcPr>
          <w:p w14:paraId="48931DE2" w14:textId="42D83F7D" w:rsidR="009443C4" w:rsidRPr="00FF51EA" w:rsidRDefault="008552E0" w:rsidP="0043347C">
            <w:pPr>
              <w:pStyle w:val="Paragraph"/>
              <w:jc w:val="center"/>
              <w:rPr>
                <w:rFonts w:ascii="Aptos" w:hAnsi="Aptos" w:cstheme="minorHAnsi"/>
              </w:rPr>
            </w:pPr>
            <w:r>
              <w:rPr>
                <w:rFonts w:ascii="Aptos" w:hAnsi="Aptos" w:cstheme="minorHAnsi"/>
              </w:rPr>
              <w:t>100</w:t>
            </w:r>
          </w:p>
        </w:tc>
        <w:tc>
          <w:tcPr>
            <w:tcW w:w="743" w:type="pct"/>
            <w:tcBorders>
              <w:top w:val="single" w:sz="8" w:space="0" w:color="000000"/>
              <w:left w:val="single" w:sz="8" w:space="0" w:color="000000"/>
              <w:bottom w:val="single" w:sz="8" w:space="0" w:color="000000"/>
              <w:right w:val="single" w:sz="8" w:space="0" w:color="000000"/>
            </w:tcBorders>
            <w:vAlign w:val="center"/>
          </w:tcPr>
          <w:p w14:paraId="4EEE3879" w14:textId="7D087327" w:rsidR="009443C4" w:rsidRPr="00FF51EA" w:rsidRDefault="0064104C" w:rsidP="0043347C">
            <w:pPr>
              <w:pStyle w:val="Paragraph"/>
              <w:jc w:val="center"/>
              <w:rPr>
                <w:rFonts w:ascii="Aptos" w:hAnsi="Aptos" w:cstheme="minorHAnsi"/>
              </w:rPr>
            </w:pPr>
            <w:r>
              <w:rPr>
                <w:rFonts w:ascii="Aptos" w:hAnsi="Aptos" w:cstheme="minorHAnsi"/>
              </w:rPr>
              <w:t>10</w:t>
            </w:r>
          </w:p>
        </w:tc>
        <w:tc>
          <w:tcPr>
            <w:tcW w:w="1225" w:type="pct"/>
            <w:tcBorders>
              <w:top w:val="single" w:sz="8" w:space="0" w:color="000000"/>
              <w:left w:val="single" w:sz="8" w:space="0" w:color="000000"/>
              <w:bottom w:val="single" w:sz="8" w:space="0" w:color="000000"/>
              <w:right w:val="single" w:sz="8" w:space="0" w:color="000000"/>
            </w:tcBorders>
            <w:vAlign w:val="center"/>
          </w:tcPr>
          <w:p w14:paraId="23F95DD7" w14:textId="483689B7"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bl>
    <w:p w14:paraId="65BE3489" w14:textId="77777777" w:rsidR="00F23D6B" w:rsidRPr="007617B0" w:rsidRDefault="00F23D6B" w:rsidP="00F23D6B">
      <w:pPr>
        <w:pStyle w:val="Parasubclause1"/>
        <w:rPr>
          <w:rFonts w:ascii="Aptos" w:hAnsi="Aptos" w:cstheme="minorHAnsi"/>
          <w:highlight w:val="yellow"/>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600"/>
        <w:gridCol w:w="1608"/>
        <w:gridCol w:w="1519"/>
        <w:gridCol w:w="1412"/>
        <w:gridCol w:w="2201"/>
      </w:tblGrid>
      <w:tr w:rsidR="007E30A5" w:rsidRPr="007617B0" w14:paraId="138C5967"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4CF252B8" w14:textId="20FECA38" w:rsidR="007E30A5" w:rsidRPr="002878D8" w:rsidRDefault="007E30A5" w:rsidP="00EC118C">
            <w:pPr>
              <w:pStyle w:val="Paragraph"/>
              <w:jc w:val="left"/>
              <w:rPr>
                <w:rFonts w:ascii="Aptos" w:hAnsi="Aptos" w:cstheme="minorHAnsi"/>
                <w:b/>
              </w:rPr>
            </w:pPr>
            <w:r w:rsidRPr="002878D8">
              <w:rPr>
                <w:rFonts w:ascii="Aptos" w:hAnsi="Aptos" w:cstheme="minorHAnsi"/>
                <w:b/>
              </w:rPr>
              <w:lastRenderedPageBreak/>
              <w:t>Evaluation Criteria: Technical/ Quality</w:t>
            </w:r>
          </w:p>
        </w:tc>
        <w:tc>
          <w:tcPr>
            <w:tcW w:w="861" w:type="pct"/>
            <w:tcBorders>
              <w:top w:val="single" w:sz="8" w:space="0" w:color="000000"/>
              <w:left w:val="single" w:sz="8" w:space="0" w:color="000000"/>
              <w:bottom w:val="single" w:sz="8" w:space="0" w:color="000000"/>
              <w:right w:val="single" w:sz="8" w:space="0" w:color="000000"/>
            </w:tcBorders>
            <w:vAlign w:val="center"/>
          </w:tcPr>
          <w:p w14:paraId="075C4CB7" w14:textId="6D4FD589" w:rsidR="007E30A5" w:rsidRPr="002878D8" w:rsidRDefault="007E30A5" w:rsidP="0043347C">
            <w:pPr>
              <w:pStyle w:val="Paragraph"/>
              <w:jc w:val="center"/>
              <w:rPr>
                <w:rFonts w:ascii="Aptos" w:hAnsi="Aptos" w:cstheme="minorHAnsi"/>
                <w:b/>
              </w:rPr>
            </w:pPr>
            <w:r w:rsidRPr="002878D8">
              <w:rPr>
                <w:rFonts w:ascii="Aptos" w:hAnsi="Aptos" w:cstheme="minorHAnsi"/>
                <w:b/>
              </w:rPr>
              <w:t>Threshold %</w:t>
            </w:r>
          </w:p>
        </w:tc>
        <w:tc>
          <w:tcPr>
            <w:tcW w:w="813" w:type="pct"/>
            <w:tcBorders>
              <w:top w:val="single" w:sz="8" w:space="0" w:color="000000"/>
              <w:left w:val="single" w:sz="8" w:space="0" w:color="000000"/>
              <w:bottom w:val="single" w:sz="8" w:space="0" w:color="000000"/>
              <w:right w:val="single" w:sz="8" w:space="0" w:color="000000"/>
            </w:tcBorders>
            <w:vAlign w:val="center"/>
          </w:tcPr>
          <w:p w14:paraId="7AF7C339" w14:textId="3E5C9F69" w:rsidR="007E30A5" w:rsidRPr="002878D8" w:rsidRDefault="007E30A5" w:rsidP="0043347C">
            <w:pPr>
              <w:pStyle w:val="Paragraph"/>
              <w:jc w:val="center"/>
              <w:rPr>
                <w:rFonts w:ascii="Aptos" w:hAnsi="Aptos" w:cstheme="minorHAnsi"/>
                <w:b/>
              </w:rPr>
            </w:pPr>
            <w:r w:rsidRPr="002878D8">
              <w:rPr>
                <w:rFonts w:ascii="Aptos" w:hAnsi="Aptos" w:cstheme="minorHAnsi"/>
                <w:b/>
              </w:rPr>
              <w:t>Weighting %</w:t>
            </w:r>
          </w:p>
        </w:tc>
        <w:tc>
          <w:tcPr>
            <w:tcW w:w="756" w:type="pct"/>
            <w:tcBorders>
              <w:top w:val="single" w:sz="8" w:space="0" w:color="000000"/>
              <w:left w:val="single" w:sz="8" w:space="0" w:color="000000"/>
              <w:bottom w:val="single" w:sz="8" w:space="0" w:color="000000"/>
              <w:right w:val="single" w:sz="8" w:space="0" w:color="000000"/>
            </w:tcBorders>
            <w:vAlign w:val="center"/>
          </w:tcPr>
          <w:p w14:paraId="0E094B22" w14:textId="2B250BDB" w:rsidR="007E30A5" w:rsidRPr="002878D8" w:rsidRDefault="007E30A5" w:rsidP="0043347C">
            <w:pPr>
              <w:pStyle w:val="Paragraph"/>
              <w:jc w:val="center"/>
              <w:rPr>
                <w:rFonts w:ascii="Aptos" w:hAnsi="Aptos" w:cstheme="minorHAnsi"/>
                <w:b/>
              </w:rPr>
            </w:pPr>
            <w:r w:rsidRPr="002878D8">
              <w:rPr>
                <w:rFonts w:ascii="Aptos" w:hAnsi="Aptos" w:cstheme="minorHAnsi"/>
                <w:b/>
              </w:rPr>
              <w:t>Max % available</w:t>
            </w:r>
          </w:p>
        </w:tc>
        <w:tc>
          <w:tcPr>
            <w:tcW w:w="1178" w:type="pct"/>
            <w:tcBorders>
              <w:top w:val="single" w:sz="8" w:space="0" w:color="000000"/>
              <w:left w:val="single" w:sz="8" w:space="0" w:color="000000"/>
              <w:bottom w:val="single" w:sz="8" w:space="0" w:color="000000"/>
              <w:right w:val="single" w:sz="8" w:space="0" w:color="000000"/>
            </w:tcBorders>
            <w:vAlign w:val="center"/>
          </w:tcPr>
          <w:p w14:paraId="159420B6" w14:textId="2B0E6FFF" w:rsidR="007E30A5" w:rsidRPr="002878D8" w:rsidRDefault="007E30A5" w:rsidP="0043347C">
            <w:pPr>
              <w:pStyle w:val="Paragraph"/>
              <w:jc w:val="center"/>
              <w:rPr>
                <w:rFonts w:ascii="Aptos" w:hAnsi="Aptos" w:cstheme="minorHAnsi"/>
                <w:b/>
              </w:rPr>
            </w:pPr>
            <w:r w:rsidRPr="002878D8">
              <w:rPr>
                <w:rFonts w:ascii="Aptos" w:hAnsi="Aptos" w:cstheme="minorHAnsi"/>
                <w:b/>
              </w:rPr>
              <w:t>Means of evaluation</w:t>
            </w:r>
          </w:p>
        </w:tc>
      </w:tr>
      <w:tr w:rsidR="009443C4" w:rsidRPr="007617B0" w14:paraId="082C759A"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0A4E8D07" w14:textId="428920A2" w:rsidR="009443C4" w:rsidRPr="007617B0" w:rsidRDefault="009443C4" w:rsidP="009443C4">
            <w:pPr>
              <w:pStyle w:val="Paragraph"/>
              <w:jc w:val="left"/>
              <w:rPr>
                <w:rFonts w:ascii="Aptos" w:hAnsi="Aptos" w:cstheme="minorHAnsi"/>
                <w:highlight w:val="yellow"/>
              </w:rPr>
            </w:pPr>
            <w:r w:rsidRPr="00512AFC">
              <w:rPr>
                <w:rFonts w:ascii="Aptos" w:hAnsi="Aptos" w:cstheme="minorHAnsi"/>
              </w:rPr>
              <w:t>A1 – Policies &amp; Procedures</w:t>
            </w:r>
          </w:p>
        </w:tc>
        <w:tc>
          <w:tcPr>
            <w:tcW w:w="861" w:type="pct"/>
            <w:tcBorders>
              <w:top w:val="single" w:sz="8" w:space="0" w:color="000000"/>
              <w:left w:val="single" w:sz="8" w:space="0" w:color="000000"/>
              <w:bottom w:val="single" w:sz="8" w:space="0" w:color="000000"/>
              <w:right w:val="single" w:sz="8" w:space="0" w:color="000000"/>
            </w:tcBorders>
            <w:vAlign w:val="center"/>
          </w:tcPr>
          <w:p w14:paraId="0284F966" w14:textId="5FCD52D1"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426065D8" w14:textId="62EF1130" w:rsidR="009443C4" w:rsidRPr="007910BD" w:rsidRDefault="009443C4" w:rsidP="0043347C">
            <w:pPr>
              <w:pStyle w:val="Paragraph"/>
              <w:jc w:val="center"/>
              <w:rPr>
                <w:rFonts w:ascii="Aptos" w:hAnsi="Aptos" w:cstheme="minorHAnsi"/>
              </w:rPr>
            </w:pPr>
            <w:r w:rsidRPr="007910BD">
              <w:rPr>
                <w:rFonts w:ascii="Aptos" w:hAnsi="Aptos" w:cstheme="minorHAnsi"/>
              </w:rPr>
              <w:t>8</w:t>
            </w:r>
          </w:p>
        </w:tc>
        <w:tc>
          <w:tcPr>
            <w:tcW w:w="756" w:type="pct"/>
            <w:tcBorders>
              <w:top w:val="single" w:sz="8" w:space="0" w:color="000000"/>
              <w:left w:val="single" w:sz="8" w:space="0" w:color="000000"/>
              <w:bottom w:val="single" w:sz="8" w:space="0" w:color="000000"/>
              <w:right w:val="single" w:sz="8" w:space="0" w:color="000000"/>
            </w:tcBorders>
            <w:vAlign w:val="center"/>
          </w:tcPr>
          <w:p w14:paraId="072FD442" w14:textId="3D9D5F4F" w:rsidR="009443C4" w:rsidRPr="00D77A18" w:rsidRDefault="00F54906" w:rsidP="0043347C">
            <w:pPr>
              <w:pStyle w:val="Paragraph"/>
              <w:jc w:val="center"/>
              <w:rPr>
                <w:rFonts w:ascii="Aptos" w:hAnsi="Aptos" w:cstheme="minorHAnsi"/>
              </w:rPr>
            </w:pPr>
            <w:r>
              <w:rPr>
                <w:rFonts w:ascii="Aptos" w:hAnsi="Aptos" w:cstheme="minorHAnsi"/>
              </w:rPr>
              <w:t>7.2</w:t>
            </w:r>
          </w:p>
        </w:tc>
        <w:tc>
          <w:tcPr>
            <w:tcW w:w="1178" w:type="pct"/>
            <w:tcBorders>
              <w:top w:val="single" w:sz="8" w:space="0" w:color="000000"/>
              <w:left w:val="single" w:sz="8" w:space="0" w:color="000000"/>
              <w:bottom w:val="single" w:sz="8" w:space="0" w:color="000000"/>
              <w:right w:val="single" w:sz="8" w:space="0" w:color="000000"/>
            </w:tcBorders>
            <w:vAlign w:val="center"/>
          </w:tcPr>
          <w:p w14:paraId="50EEA8B7" w14:textId="5EB95993"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r w:rsidR="009443C4" w:rsidRPr="007617B0" w14:paraId="390AFCC6"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2CA858E8" w14:textId="04086D77" w:rsidR="009443C4" w:rsidRPr="007617B0" w:rsidRDefault="009443C4" w:rsidP="009443C4">
            <w:pPr>
              <w:pStyle w:val="Paragraph"/>
              <w:jc w:val="left"/>
              <w:rPr>
                <w:rFonts w:ascii="Aptos" w:hAnsi="Aptos" w:cstheme="minorHAnsi"/>
                <w:highlight w:val="yellow"/>
              </w:rPr>
            </w:pPr>
            <w:r w:rsidRPr="00512AFC">
              <w:rPr>
                <w:rFonts w:ascii="Aptos" w:hAnsi="Aptos" w:cstheme="minorHAnsi"/>
              </w:rPr>
              <w:t>A3 - Policies &amp; Procedures – Implement / Manage/ Monitor</w:t>
            </w:r>
          </w:p>
        </w:tc>
        <w:tc>
          <w:tcPr>
            <w:tcW w:w="861" w:type="pct"/>
            <w:tcBorders>
              <w:top w:val="single" w:sz="8" w:space="0" w:color="000000"/>
              <w:left w:val="single" w:sz="8" w:space="0" w:color="000000"/>
              <w:bottom w:val="single" w:sz="8" w:space="0" w:color="000000"/>
              <w:right w:val="single" w:sz="8" w:space="0" w:color="000000"/>
            </w:tcBorders>
            <w:vAlign w:val="center"/>
          </w:tcPr>
          <w:p w14:paraId="51678C74" w14:textId="6C7FD2A3"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0C84259F" w14:textId="7EC0B8C3" w:rsidR="009443C4" w:rsidRPr="007910BD" w:rsidRDefault="009443C4" w:rsidP="0043347C">
            <w:pPr>
              <w:pStyle w:val="Paragraph"/>
              <w:jc w:val="center"/>
              <w:rPr>
                <w:rFonts w:ascii="Aptos" w:hAnsi="Aptos" w:cstheme="minorHAnsi"/>
              </w:rPr>
            </w:pPr>
            <w:r>
              <w:rPr>
                <w:rFonts w:ascii="Aptos" w:hAnsi="Aptos" w:cstheme="minorHAnsi"/>
              </w:rPr>
              <w:t>8</w:t>
            </w:r>
          </w:p>
        </w:tc>
        <w:tc>
          <w:tcPr>
            <w:tcW w:w="756" w:type="pct"/>
            <w:tcBorders>
              <w:top w:val="single" w:sz="8" w:space="0" w:color="000000"/>
              <w:left w:val="single" w:sz="8" w:space="0" w:color="000000"/>
              <w:bottom w:val="single" w:sz="8" w:space="0" w:color="000000"/>
              <w:right w:val="single" w:sz="8" w:space="0" w:color="000000"/>
            </w:tcBorders>
            <w:vAlign w:val="center"/>
          </w:tcPr>
          <w:p w14:paraId="44A3F251" w14:textId="221726AD" w:rsidR="009443C4" w:rsidRPr="00D77A18" w:rsidRDefault="00F54906" w:rsidP="0043347C">
            <w:pPr>
              <w:pStyle w:val="Paragraph"/>
              <w:jc w:val="center"/>
              <w:rPr>
                <w:rFonts w:ascii="Aptos" w:hAnsi="Aptos" w:cstheme="minorHAnsi"/>
              </w:rPr>
            </w:pPr>
            <w:r>
              <w:rPr>
                <w:rFonts w:ascii="Aptos" w:hAnsi="Aptos" w:cstheme="minorHAnsi"/>
              </w:rPr>
              <w:t>7.2</w:t>
            </w:r>
          </w:p>
        </w:tc>
        <w:tc>
          <w:tcPr>
            <w:tcW w:w="1178" w:type="pct"/>
            <w:tcBorders>
              <w:top w:val="single" w:sz="8" w:space="0" w:color="000000"/>
              <w:left w:val="single" w:sz="8" w:space="0" w:color="000000"/>
              <w:bottom w:val="single" w:sz="8" w:space="0" w:color="000000"/>
              <w:right w:val="single" w:sz="8" w:space="0" w:color="000000"/>
            </w:tcBorders>
            <w:vAlign w:val="center"/>
          </w:tcPr>
          <w:p w14:paraId="6093F80C" w14:textId="786CD23E"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r w:rsidR="009443C4" w:rsidRPr="007617B0" w14:paraId="158662BE"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75900D58" w14:textId="682CEE50" w:rsidR="009443C4" w:rsidRPr="007617B0" w:rsidRDefault="009443C4" w:rsidP="009443C4">
            <w:pPr>
              <w:pStyle w:val="Paragraph"/>
              <w:jc w:val="left"/>
              <w:rPr>
                <w:rFonts w:ascii="Aptos" w:hAnsi="Aptos" w:cstheme="minorHAnsi"/>
                <w:highlight w:val="yellow"/>
              </w:rPr>
            </w:pPr>
            <w:r w:rsidRPr="009E1F31">
              <w:rPr>
                <w:rFonts w:ascii="Aptos" w:hAnsi="Aptos" w:cstheme="minorHAnsi"/>
              </w:rPr>
              <w:t>B1 - Food Offering Overview</w:t>
            </w:r>
          </w:p>
        </w:tc>
        <w:tc>
          <w:tcPr>
            <w:tcW w:w="861" w:type="pct"/>
            <w:tcBorders>
              <w:top w:val="single" w:sz="8" w:space="0" w:color="000000"/>
              <w:left w:val="single" w:sz="8" w:space="0" w:color="000000"/>
              <w:bottom w:val="single" w:sz="8" w:space="0" w:color="000000"/>
              <w:right w:val="single" w:sz="8" w:space="0" w:color="000000"/>
            </w:tcBorders>
            <w:vAlign w:val="center"/>
          </w:tcPr>
          <w:p w14:paraId="325CEBDF" w14:textId="5359E0DD"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31D18A14" w14:textId="3A14561A" w:rsidR="009443C4" w:rsidRPr="007910BD" w:rsidRDefault="009443C4" w:rsidP="0043347C">
            <w:pPr>
              <w:pStyle w:val="Paragraph"/>
              <w:jc w:val="center"/>
              <w:rPr>
                <w:rFonts w:ascii="Aptos" w:hAnsi="Aptos" w:cstheme="minorHAnsi"/>
              </w:rPr>
            </w:pPr>
            <w:r>
              <w:rPr>
                <w:rFonts w:ascii="Aptos" w:hAnsi="Aptos" w:cstheme="minorHAnsi"/>
              </w:rPr>
              <w:t>10</w:t>
            </w:r>
          </w:p>
        </w:tc>
        <w:tc>
          <w:tcPr>
            <w:tcW w:w="756" w:type="pct"/>
            <w:tcBorders>
              <w:top w:val="single" w:sz="8" w:space="0" w:color="000000"/>
              <w:left w:val="single" w:sz="8" w:space="0" w:color="000000"/>
              <w:bottom w:val="single" w:sz="8" w:space="0" w:color="000000"/>
              <w:right w:val="single" w:sz="8" w:space="0" w:color="000000"/>
            </w:tcBorders>
            <w:vAlign w:val="center"/>
          </w:tcPr>
          <w:p w14:paraId="4EAAE05B" w14:textId="3F24E5B7" w:rsidR="009443C4" w:rsidRPr="00D77A18" w:rsidRDefault="00A75759" w:rsidP="0043347C">
            <w:pPr>
              <w:pStyle w:val="Paragraph"/>
              <w:jc w:val="center"/>
              <w:rPr>
                <w:rFonts w:ascii="Aptos" w:hAnsi="Aptos" w:cstheme="minorHAnsi"/>
              </w:rPr>
            </w:pPr>
            <w:r>
              <w:rPr>
                <w:rFonts w:ascii="Aptos" w:hAnsi="Aptos" w:cstheme="minorHAnsi"/>
              </w:rPr>
              <w:t>9</w:t>
            </w:r>
          </w:p>
        </w:tc>
        <w:tc>
          <w:tcPr>
            <w:tcW w:w="1178" w:type="pct"/>
            <w:tcBorders>
              <w:top w:val="single" w:sz="8" w:space="0" w:color="000000"/>
              <w:left w:val="single" w:sz="8" w:space="0" w:color="000000"/>
              <w:bottom w:val="single" w:sz="8" w:space="0" w:color="000000"/>
              <w:right w:val="single" w:sz="8" w:space="0" w:color="000000"/>
            </w:tcBorders>
            <w:vAlign w:val="center"/>
          </w:tcPr>
          <w:p w14:paraId="0C6DDAA7" w14:textId="541750F9"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r w:rsidR="009443C4" w:rsidRPr="007617B0" w14:paraId="22A08AE0"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5F86D615" w14:textId="1C67127A" w:rsidR="009443C4" w:rsidRPr="007617B0" w:rsidRDefault="009443C4" w:rsidP="009443C4">
            <w:pPr>
              <w:pStyle w:val="Paragraph"/>
              <w:jc w:val="left"/>
              <w:rPr>
                <w:rFonts w:ascii="Aptos" w:hAnsi="Aptos" w:cstheme="minorHAnsi"/>
                <w:highlight w:val="yellow"/>
              </w:rPr>
            </w:pPr>
            <w:r w:rsidRPr="008A1546">
              <w:rPr>
                <w:rFonts w:ascii="Aptos" w:hAnsi="Aptos" w:cstheme="minorHAnsi"/>
              </w:rPr>
              <w:t>B2 - Hospitality Food Offering</w:t>
            </w:r>
          </w:p>
        </w:tc>
        <w:tc>
          <w:tcPr>
            <w:tcW w:w="861" w:type="pct"/>
            <w:tcBorders>
              <w:top w:val="single" w:sz="8" w:space="0" w:color="000000"/>
              <w:left w:val="single" w:sz="8" w:space="0" w:color="000000"/>
              <w:bottom w:val="single" w:sz="8" w:space="0" w:color="000000"/>
              <w:right w:val="single" w:sz="8" w:space="0" w:color="000000"/>
            </w:tcBorders>
            <w:vAlign w:val="center"/>
          </w:tcPr>
          <w:p w14:paraId="52CFD345" w14:textId="26BF7EC1"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09E8F0A3" w14:textId="1B6E69DD" w:rsidR="009443C4" w:rsidRPr="007910BD" w:rsidRDefault="009443C4" w:rsidP="0043347C">
            <w:pPr>
              <w:pStyle w:val="Paragraph"/>
              <w:jc w:val="center"/>
              <w:rPr>
                <w:rFonts w:ascii="Aptos" w:hAnsi="Aptos" w:cstheme="minorHAnsi"/>
              </w:rPr>
            </w:pPr>
            <w:r>
              <w:rPr>
                <w:rFonts w:ascii="Aptos" w:hAnsi="Aptos" w:cstheme="minorHAnsi"/>
              </w:rPr>
              <w:t>5</w:t>
            </w:r>
          </w:p>
        </w:tc>
        <w:tc>
          <w:tcPr>
            <w:tcW w:w="756" w:type="pct"/>
            <w:tcBorders>
              <w:top w:val="single" w:sz="8" w:space="0" w:color="000000"/>
              <w:left w:val="single" w:sz="8" w:space="0" w:color="000000"/>
              <w:bottom w:val="single" w:sz="8" w:space="0" w:color="000000"/>
              <w:right w:val="single" w:sz="8" w:space="0" w:color="000000"/>
            </w:tcBorders>
            <w:vAlign w:val="center"/>
          </w:tcPr>
          <w:p w14:paraId="48644646" w14:textId="1FB9EFDE" w:rsidR="009443C4" w:rsidRPr="00D77A18" w:rsidRDefault="009D725D" w:rsidP="0043347C">
            <w:pPr>
              <w:pStyle w:val="Paragraph"/>
              <w:jc w:val="center"/>
              <w:rPr>
                <w:rFonts w:ascii="Aptos" w:hAnsi="Aptos" w:cstheme="minorHAnsi"/>
              </w:rPr>
            </w:pPr>
            <w:r>
              <w:rPr>
                <w:rFonts w:ascii="Aptos" w:hAnsi="Aptos" w:cstheme="minorHAnsi"/>
              </w:rPr>
              <w:t>4</w:t>
            </w:r>
            <w:r w:rsidR="00A75759">
              <w:rPr>
                <w:rFonts w:ascii="Aptos" w:hAnsi="Aptos" w:cstheme="minorHAnsi"/>
              </w:rPr>
              <w:t>.5</w:t>
            </w:r>
          </w:p>
        </w:tc>
        <w:tc>
          <w:tcPr>
            <w:tcW w:w="1178" w:type="pct"/>
            <w:tcBorders>
              <w:top w:val="single" w:sz="8" w:space="0" w:color="000000"/>
              <w:left w:val="single" w:sz="8" w:space="0" w:color="000000"/>
              <w:bottom w:val="single" w:sz="8" w:space="0" w:color="000000"/>
              <w:right w:val="single" w:sz="8" w:space="0" w:color="000000"/>
            </w:tcBorders>
            <w:vAlign w:val="center"/>
          </w:tcPr>
          <w:p w14:paraId="49E8D9F3" w14:textId="5D77E0ED"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r w:rsidR="009443C4" w:rsidRPr="007617B0" w14:paraId="6D971294"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280F548A" w14:textId="2D3E0742" w:rsidR="009443C4" w:rsidRPr="000B58D6" w:rsidRDefault="009443C4" w:rsidP="009443C4">
            <w:pPr>
              <w:pStyle w:val="Paragraph"/>
              <w:jc w:val="left"/>
              <w:rPr>
                <w:rFonts w:ascii="Aptos" w:hAnsi="Aptos" w:cstheme="minorHAnsi"/>
              </w:rPr>
            </w:pPr>
            <w:r>
              <w:rPr>
                <w:rFonts w:ascii="Aptos" w:hAnsi="Aptos" w:cstheme="minorHAnsi"/>
              </w:rPr>
              <w:t xml:space="preserve">B4 - </w:t>
            </w:r>
            <w:r w:rsidRPr="000B58D6">
              <w:rPr>
                <w:rFonts w:ascii="Aptos" w:hAnsi="Aptos" w:cstheme="minorHAnsi"/>
              </w:rPr>
              <w:t>Food Offering -</w:t>
            </w:r>
          </w:p>
          <w:p w14:paraId="03FC75EA" w14:textId="6F2AFEDB" w:rsidR="009443C4" w:rsidRPr="000B58D6" w:rsidRDefault="009443C4" w:rsidP="009443C4">
            <w:pPr>
              <w:pStyle w:val="Paragraph"/>
              <w:jc w:val="left"/>
              <w:rPr>
                <w:rFonts w:ascii="Aptos" w:hAnsi="Aptos" w:cstheme="minorHAnsi"/>
              </w:rPr>
            </w:pPr>
            <w:r w:rsidRPr="000B58D6">
              <w:rPr>
                <w:rFonts w:ascii="Aptos" w:hAnsi="Aptos" w:cstheme="minorHAnsi"/>
              </w:rPr>
              <w:t>Portion Size Schedule</w:t>
            </w:r>
          </w:p>
        </w:tc>
        <w:tc>
          <w:tcPr>
            <w:tcW w:w="861" w:type="pct"/>
            <w:tcBorders>
              <w:top w:val="single" w:sz="8" w:space="0" w:color="000000"/>
              <w:left w:val="single" w:sz="8" w:space="0" w:color="000000"/>
              <w:bottom w:val="single" w:sz="8" w:space="0" w:color="000000"/>
              <w:right w:val="single" w:sz="8" w:space="0" w:color="000000"/>
            </w:tcBorders>
            <w:vAlign w:val="center"/>
          </w:tcPr>
          <w:p w14:paraId="074450E0" w14:textId="2A260B42"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62DF640F" w14:textId="108AB3C1" w:rsidR="009443C4" w:rsidRPr="007910BD" w:rsidRDefault="009443C4" w:rsidP="0043347C">
            <w:pPr>
              <w:pStyle w:val="Paragraph"/>
              <w:jc w:val="center"/>
              <w:rPr>
                <w:rFonts w:ascii="Aptos" w:hAnsi="Aptos" w:cstheme="minorHAnsi"/>
              </w:rPr>
            </w:pPr>
            <w:r>
              <w:rPr>
                <w:rFonts w:ascii="Aptos" w:hAnsi="Aptos" w:cstheme="minorHAnsi"/>
              </w:rPr>
              <w:t>5</w:t>
            </w:r>
          </w:p>
        </w:tc>
        <w:tc>
          <w:tcPr>
            <w:tcW w:w="756" w:type="pct"/>
            <w:tcBorders>
              <w:top w:val="single" w:sz="8" w:space="0" w:color="000000"/>
              <w:left w:val="single" w:sz="8" w:space="0" w:color="000000"/>
              <w:bottom w:val="single" w:sz="8" w:space="0" w:color="000000"/>
              <w:right w:val="single" w:sz="8" w:space="0" w:color="000000"/>
            </w:tcBorders>
            <w:vAlign w:val="center"/>
          </w:tcPr>
          <w:p w14:paraId="2F0E869E" w14:textId="4FF29A8B" w:rsidR="009443C4" w:rsidRPr="00D77A18" w:rsidRDefault="009D725D" w:rsidP="0043347C">
            <w:pPr>
              <w:pStyle w:val="Paragraph"/>
              <w:jc w:val="center"/>
              <w:rPr>
                <w:rFonts w:ascii="Aptos" w:hAnsi="Aptos" w:cstheme="minorHAnsi"/>
              </w:rPr>
            </w:pPr>
            <w:r>
              <w:rPr>
                <w:rFonts w:ascii="Aptos" w:hAnsi="Aptos" w:cstheme="minorHAnsi"/>
              </w:rPr>
              <w:t>4</w:t>
            </w:r>
            <w:r w:rsidR="00A75759">
              <w:rPr>
                <w:rFonts w:ascii="Aptos" w:hAnsi="Aptos" w:cstheme="minorHAnsi"/>
              </w:rPr>
              <w:t>.5</w:t>
            </w:r>
          </w:p>
        </w:tc>
        <w:tc>
          <w:tcPr>
            <w:tcW w:w="1178" w:type="pct"/>
            <w:tcBorders>
              <w:top w:val="single" w:sz="8" w:space="0" w:color="000000"/>
              <w:left w:val="single" w:sz="8" w:space="0" w:color="000000"/>
              <w:bottom w:val="single" w:sz="8" w:space="0" w:color="000000"/>
              <w:right w:val="single" w:sz="8" w:space="0" w:color="000000"/>
            </w:tcBorders>
            <w:vAlign w:val="center"/>
          </w:tcPr>
          <w:p w14:paraId="5B4F15D7" w14:textId="15D00D34"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r w:rsidR="009443C4" w:rsidRPr="007617B0" w14:paraId="101AC5C2"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03993CB8" w14:textId="082FA59A" w:rsidR="009443C4" w:rsidRPr="00734BC3" w:rsidRDefault="009443C4" w:rsidP="009443C4">
            <w:pPr>
              <w:pStyle w:val="Paragraph"/>
              <w:jc w:val="left"/>
              <w:rPr>
                <w:rFonts w:ascii="Aptos" w:hAnsi="Aptos" w:cstheme="minorHAnsi"/>
              </w:rPr>
            </w:pPr>
            <w:r w:rsidRPr="00734BC3">
              <w:rPr>
                <w:rFonts w:ascii="Aptos" w:hAnsi="Aptos" w:cstheme="minorHAnsi"/>
              </w:rPr>
              <w:t>C1 - Purchasing</w:t>
            </w:r>
          </w:p>
        </w:tc>
        <w:tc>
          <w:tcPr>
            <w:tcW w:w="861" w:type="pct"/>
            <w:tcBorders>
              <w:top w:val="single" w:sz="8" w:space="0" w:color="000000"/>
              <w:left w:val="single" w:sz="8" w:space="0" w:color="000000"/>
              <w:bottom w:val="single" w:sz="8" w:space="0" w:color="000000"/>
              <w:right w:val="single" w:sz="8" w:space="0" w:color="000000"/>
            </w:tcBorders>
            <w:vAlign w:val="center"/>
          </w:tcPr>
          <w:p w14:paraId="28BB1684" w14:textId="6AB1780A"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2C5B9E38" w14:textId="26F0B1FB" w:rsidR="009443C4" w:rsidRPr="007910BD" w:rsidRDefault="009443C4" w:rsidP="0043347C">
            <w:pPr>
              <w:pStyle w:val="Paragraph"/>
              <w:jc w:val="center"/>
              <w:rPr>
                <w:rFonts w:ascii="Aptos" w:hAnsi="Aptos" w:cstheme="minorHAnsi"/>
              </w:rPr>
            </w:pPr>
            <w:r>
              <w:rPr>
                <w:rFonts w:ascii="Aptos" w:hAnsi="Aptos" w:cstheme="minorHAnsi"/>
              </w:rPr>
              <w:t>5</w:t>
            </w:r>
          </w:p>
        </w:tc>
        <w:tc>
          <w:tcPr>
            <w:tcW w:w="756" w:type="pct"/>
            <w:tcBorders>
              <w:top w:val="single" w:sz="8" w:space="0" w:color="000000"/>
              <w:left w:val="single" w:sz="8" w:space="0" w:color="000000"/>
              <w:bottom w:val="single" w:sz="8" w:space="0" w:color="000000"/>
              <w:right w:val="single" w:sz="8" w:space="0" w:color="000000"/>
            </w:tcBorders>
            <w:vAlign w:val="center"/>
          </w:tcPr>
          <w:p w14:paraId="51D1A322" w14:textId="3D0EF826" w:rsidR="009443C4" w:rsidRPr="00D77A18" w:rsidRDefault="009D725D" w:rsidP="0043347C">
            <w:pPr>
              <w:pStyle w:val="Paragraph"/>
              <w:jc w:val="center"/>
              <w:rPr>
                <w:rFonts w:ascii="Aptos" w:hAnsi="Aptos" w:cstheme="minorHAnsi"/>
              </w:rPr>
            </w:pPr>
            <w:r>
              <w:rPr>
                <w:rFonts w:ascii="Aptos" w:hAnsi="Aptos" w:cstheme="minorHAnsi"/>
              </w:rPr>
              <w:t>4</w:t>
            </w:r>
            <w:r w:rsidR="00A75759">
              <w:rPr>
                <w:rFonts w:ascii="Aptos" w:hAnsi="Aptos" w:cstheme="minorHAnsi"/>
              </w:rPr>
              <w:t>.5</w:t>
            </w:r>
          </w:p>
        </w:tc>
        <w:tc>
          <w:tcPr>
            <w:tcW w:w="1178" w:type="pct"/>
            <w:tcBorders>
              <w:top w:val="single" w:sz="8" w:space="0" w:color="000000"/>
              <w:left w:val="single" w:sz="8" w:space="0" w:color="000000"/>
              <w:bottom w:val="single" w:sz="8" w:space="0" w:color="000000"/>
              <w:right w:val="single" w:sz="8" w:space="0" w:color="000000"/>
            </w:tcBorders>
            <w:vAlign w:val="center"/>
          </w:tcPr>
          <w:p w14:paraId="726C328E" w14:textId="1481CFD1"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r w:rsidR="009443C4" w:rsidRPr="007617B0" w14:paraId="28FF2BA1"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12FAA5D0" w14:textId="33EA94E9" w:rsidR="009443C4" w:rsidRPr="00135350" w:rsidRDefault="009443C4" w:rsidP="009443C4">
            <w:pPr>
              <w:pStyle w:val="Paragraph"/>
              <w:jc w:val="left"/>
              <w:rPr>
                <w:sz w:val="20"/>
                <w:szCs w:val="20"/>
              </w:rPr>
            </w:pPr>
            <w:r w:rsidRPr="00295C30">
              <w:rPr>
                <w:rFonts w:ascii="Aptos" w:hAnsi="Aptos" w:cstheme="minorHAnsi"/>
              </w:rPr>
              <w:t>D1 – Personnel – Staff Cover</w:t>
            </w:r>
          </w:p>
        </w:tc>
        <w:tc>
          <w:tcPr>
            <w:tcW w:w="861" w:type="pct"/>
            <w:tcBorders>
              <w:top w:val="single" w:sz="8" w:space="0" w:color="000000"/>
              <w:left w:val="single" w:sz="8" w:space="0" w:color="000000"/>
              <w:bottom w:val="single" w:sz="8" w:space="0" w:color="000000"/>
              <w:right w:val="single" w:sz="8" w:space="0" w:color="000000"/>
            </w:tcBorders>
            <w:vAlign w:val="center"/>
          </w:tcPr>
          <w:p w14:paraId="34B7DF06" w14:textId="25B70262"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0CF3C771" w14:textId="797C8BA0" w:rsidR="009443C4" w:rsidRPr="007910BD" w:rsidRDefault="009443C4" w:rsidP="0043347C">
            <w:pPr>
              <w:pStyle w:val="Paragraph"/>
              <w:jc w:val="center"/>
              <w:rPr>
                <w:rFonts w:ascii="Aptos" w:hAnsi="Aptos" w:cstheme="minorHAnsi"/>
              </w:rPr>
            </w:pPr>
            <w:r>
              <w:rPr>
                <w:rFonts w:ascii="Aptos" w:hAnsi="Aptos" w:cstheme="minorHAnsi"/>
              </w:rPr>
              <w:t>5</w:t>
            </w:r>
          </w:p>
        </w:tc>
        <w:tc>
          <w:tcPr>
            <w:tcW w:w="756" w:type="pct"/>
            <w:tcBorders>
              <w:top w:val="single" w:sz="8" w:space="0" w:color="000000"/>
              <w:left w:val="single" w:sz="8" w:space="0" w:color="000000"/>
              <w:bottom w:val="single" w:sz="8" w:space="0" w:color="000000"/>
              <w:right w:val="single" w:sz="8" w:space="0" w:color="000000"/>
            </w:tcBorders>
            <w:vAlign w:val="center"/>
          </w:tcPr>
          <w:p w14:paraId="7F3700DB" w14:textId="357CB836" w:rsidR="009443C4" w:rsidRPr="00D77A18" w:rsidRDefault="009D725D" w:rsidP="0043347C">
            <w:pPr>
              <w:pStyle w:val="Paragraph"/>
              <w:jc w:val="center"/>
              <w:rPr>
                <w:rFonts w:ascii="Aptos" w:hAnsi="Aptos" w:cstheme="minorHAnsi"/>
              </w:rPr>
            </w:pPr>
            <w:r>
              <w:rPr>
                <w:rFonts w:ascii="Aptos" w:hAnsi="Aptos" w:cstheme="minorHAnsi"/>
              </w:rPr>
              <w:t>4</w:t>
            </w:r>
            <w:r w:rsidR="00A75759">
              <w:rPr>
                <w:rFonts w:ascii="Aptos" w:hAnsi="Aptos" w:cstheme="minorHAnsi"/>
              </w:rPr>
              <w:t>.5</w:t>
            </w:r>
          </w:p>
        </w:tc>
        <w:tc>
          <w:tcPr>
            <w:tcW w:w="1178" w:type="pct"/>
            <w:tcBorders>
              <w:top w:val="single" w:sz="8" w:space="0" w:color="000000"/>
              <w:left w:val="single" w:sz="8" w:space="0" w:color="000000"/>
              <w:bottom w:val="single" w:sz="8" w:space="0" w:color="000000"/>
              <w:right w:val="single" w:sz="8" w:space="0" w:color="000000"/>
            </w:tcBorders>
            <w:vAlign w:val="center"/>
          </w:tcPr>
          <w:p w14:paraId="7C28C458" w14:textId="530E5313"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r w:rsidR="009443C4" w:rsidRPr="007617B0" w14:paraId="6D0F642D"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0C09D18D" w14:textId="040D440F" w:rsidR="009443C4" w:rsidRPr="00135350" w:rsidRDefault="009443C4" w:rsidP="009443C4">
            <w:pPr>
              <w:rPr>
                <w:rFonts w:cs="Arial"/>
                <w:sz w:val="20"/>
                <w:szCs w:val="20"/>
              </w:rPr>
            </w:pPr>
            <w:r w:rsidRPr="00295C30">
              <w:rPr>
                <w:rFonts w:ascii="Aptos" w:hAnsi="Aptos" w:cstheme="minorHAnsi"/>
              </w:rPr>
              <w:t>D</w:t>
            </w:r>
            <w:r>
              <w:rPr>
                <w:rFonts w:ascii="Aptos" w:hAnsi="Aptos" w:cstheme="minorHAnsi"/>
              </w:rPr>
              <w:t>2</w:t>
            </w:r>
            <w:r w:rsidRPr="00295C30">
              <w:rPr>
                <w:rFonts w:ascii="Aptos" w:hAnsi="Aptos" w:cstheme="minorHAnsi"/>
              </w:rPr>
              <w:t xml:space="preserve"> – Personnel – </w:t>
            </w:r>
            <w:r>
              <w:rPr>
                <w:rFonts w:ascii="Aptos" w:hAnsi="Aptos" w:cstheme="minorHAnsi"/>
              </w:rPr>
              <w:t>New &amp; Existing Staff Training</w:t>
            </w:r>
          </w:p>
        </w:tc>
        <w:tc>
          <w:tcPr>
            <w:tcW w:w="861" w:type="pct"/>
            <w:tcBorders>
              <w:top w:val="single" w:sz="8" w:space="0" w:color="000000"/>
              <w:left w:val="single" w:sz="8" w:space="0" w:color="000000"/>
              <w:bottom w:val="single" w:sz="8" w:space="0" w:color="000000"/>
              <w:right w:val="single" w:sz="8" w:space="0" w:color="000000"/>
            </w:tcBorders>
            <w:vAlign w:val="center"/>
          </w:tcPr>
          <w:p w14:paraId="6FB8C957" w14:textId="4EB1AE05"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1F10F483" w14:textId="7E7F83AC" w:rsidR="009443C4" w:rsidRPr="007910BD" w:rsidRDefault="009443C4" w:rsidP="0043347C">
            <w:pPr>
              <w:pStyle w:val="Paragraph"/>
              <w:jc w:val="center"/>
              <w:rPr>
                <w:rFonts w:ascii="Aptos" w:hAnsi="Aptos" w:cstheme="minorHAnsi"/>
              </w:rPr>
            </w:pPr>
            <w:r>
              <w:rPr>
                <w:rFonts w:ascii="Aptos" w:hAnsi="Aptos" w:cstheme="minorHAnsi"/>
              </w:rPr>
              <w:t>10</w:t>
            </w:r>
          </w:p>
        </w:tc>
        <w:tc>
          <w:tcPr>
            <w:tcW w:w="756" w:type="pct"/>
            <w:tcBorders>
              <w:top w:val="single" w:sz="8" w:space="0" w:color="000000"/>
              <w:left w:val="single" w:sz="8" w:space="0" w:color="000000"/>
              <w:bottom w:val="single" w:sz="8" w:space="0" w:color="000000"/>
              <w:right w:val="single" w:sz="8" w:space="0" w:color="000000"/>
            </w:tcBorders>
            <w:vAlign w:val="center"/>
          </w:tcPr>
          <w:p w14:paraId="6880FA43" w14:textId="67DA1AF6" w:rsidR="009443C4" w:rsidRPr="00D77A18" w:rsidRDefault="00A75759" w:rsidP="0043347C">
            <w:pPr>
              <w:pStyle w:val="Paragraph"/>
              <w:jc w:val="center"/>
              <w:rPr>
                <w:rFonts w:ascii="Aptos" w:hAnsi="Aptos" w:cstheme="minorHAnsi"/>
              </w:rPr>
            </w:pPr>
            <w:r>
              <w:rPr>
                <w:rFonts w:ascii="Aptos" w:hAnsi="Aptos" w:cstheme="minorHAnsi"/>
              </w:rPr>
              <w:t>9</w:t>
            </w:r>
          </w:p>
        </w:tc>
        <w:tc>
          <w:tcPr>
            <w:tcW w:w="1178" w:type="pct"/>
            <w:tcBorders>
              <w:top w:val="single" w:sz="8" w:space="0" w:color="000000"/>
              <w:left w:val="single" w:sz="8" w:space="0" w:color="000000"/>
              <w:bottom w:val="single" w:sz="8" w:space="0" w:color="000000"/>
              <w:right w:val="single" w:sz="8" w:space="0" w:color="000000"/>
            </w:tcBorders>
            <w:vAlign w:val="center"/>
          </w:tcPr>
          <w:p w14:paraId="370DD0C7" w14:textId="6795EB0C"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r w:rsidR="009443C4" w:rsidRPr="007617B0" w14:paraId="6278E744"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0282F27C" w14:textId="2B085755" w:rsidR="009443C4" w:rsidRPr="00135350" w:rsidRDefault="009443C4" w:rsidP="009443C4">
            <w:pPr>
              <w:rPr>
                <w:rFonts w:cs="Arial"/>
                <w:sz w:val="20"/>
                <w:szCs w:val="20"/>
              </w:rPr>
            </w:pPr>
            <w:r w:rsidRPr="00166D4A">
              <w:rPr>
                <w:rFonts w:ascii="Aptos" w:hAnsi="Aptos" w:cstheme="minorHAnsi"/>
              </w:rPr>
              <w:t>E1 – Food safety</w:t>
            </w:r>
          </w:p>
        </w:tc>
        <w:tc>
          <w:tcPr>
            <w:tcW w:w="861" w:type="pct"/>
            <w:tcBorders>
              <w:top w:val="single" w:sz="8" w:space="0" w:color="000000"/>
              <w:left w:val="single" w:sz="8" w:space="0" w:color="000000"/>
              <w:bottom w:val="single" w:sz="8" w:space="0" w:color="000000"/>
              <w:right w:val="single" w:sz="8" w:space="0" w:color="000000"/>
            </w:tcBorders>
            <w:vAlign w:val="center"/>
          </w:tcPr>
          <w:p w14:paraId="749D3451" w14:textId="030D1F34"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4DED0D40" w14:textId="7A0B1518" w:rsidR="009443C4" w:rsidRPr="007910BD" w:rsidRDefault="009443C4" w:rsidP="0043347C">
            <w:pPr>
              <w:pStyle w:val="Paragraph"/>
              <w:jc w:val="center"/>
              <w:rPr>
                <w:rFonts w:ascii="Aptos" w:hAnsi="Aptos" w:cstheme="minorHAnsi"/>
              </w:rPr>
            </w:pPr>
            <w:r>
              <w:rPr>
                <w:rFonts w:ascii="Aptos" w:hAnsi="Aptos" w:cstheme="minorHAnsi"/>
              </w:rPr>
              <w:t>7</w:t>
            </w:r>
          </w:p>
        </w:tc>
        <w:tc>
          <w:tcPr>
            <w:tcW w:w="756" w:type="pct"/>
            <w:tcBorders>
              <w:top w:val="single" w:sz="8" w:space="0" w:color="000000"/>
              <w:left w:val="single" w:sz="8" w:space="0" w:color="000000"/>
              <w:bottom w:val="single" w:sz="8" w:space="0" w:color="000000"/>
              <w:right w:val="single" w:sz="8" w:space="0" w:color="000000"/>
            </w:tcBorders>
            <w:vAlign w:val="center"/>
          </w:tcPr>
          <w:p w14:paraId="1A222A8B" w14:textId="465FFD10" w:rsidR="009443C4" w:rsidRPr="00D77A18" w:rsidRDefault="00A75759" w:rsidP="0043347C">
            <w:pPr>
              <w:pStyle w:val="Paragraph"/>
              <w:jc w:val="center"/>
              <w:rPr>
                <w:rFonts w:ascii="Aptos" w:hAnsi="Aptos" w:cstheme="minorHAnsi"/>
              </w:rPr>
            </w:pPr>
            <w:r>
              <w:rPr>
                <w:rFonts w:ascii="Aptos" w:hAnsi="Aptos" w:cstheme="minorHAnsi"/>
              </w:rPr>
              <w:t>6.3</w:t>
            </w:r>
          </w:p>
        </w:tc>
        <w:tc>
          <w:tcPr>
            <w:tcW w:w="1178" w:type="pct"/>
            <w:tcBorders>
              <w:top w:val="single" w:sz="8" w:space="0" w:color="000000"/>
              <w:left w:val="single" w:sz="8" w:space="0" w:color="000000"/>
              <w:bottom w:val="single" w:sz="8" w:space="0" w:color="000000"/>
              <w:right w:val="single" w:sz="8" w:space="0" w:color="000000"/>
            </w:tcBorders>
            <w:vAlign w:val="center"/>
          </w:tcPr>
          <w:p w14:paraId="2BC6C541" w14:textId="7D6721D1"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r w:rsidR="009443C4" w:rsidRPr="007617B0" w14:paraId="0674E2B2"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5C76794E" w14:textId="0D97C4E2" w:rsidR="009443C4" w:rsidRPr="00135350" w:rsidRDefault="009443C4" w:rsidP="009443C4">
            <w:pPr>
              <w:rPr>
                <w:rFonts w:cs="Arial"/>
                <w:sz w:val="20"/>
                <w:szCs w:val="20"/>
              </w:rPr>
            </w:pPr>
            <w:r w:rsidRPr="00386266">
              <w:rPr>
                <w:rFonts w:ascii="Aptos" w:hAnsi="Aptos" w:cstheme="minorHAnsi"/>
              </w:rPr>
              <w:t>E2 - Food Information Regulations (FIR)</w:t>
            </w:r>
          </w:p>
        </w:tc>
        <w:tc>
          <w:tcPr>
            <w:tcW w:w="861" w:type="pct"/>
            <w:tcBorders>
              <w:top w:val="single" w:sz="8" w:space="0" w:color="000000"/>
              <w:left w:val="single" w:sz="8" w:space="0" w:color="000000"/>
              <w:bottom w:val="single" w:sz="8" w:space="0" w:color="000000"/>
              <w:right w:val="single" w:sz="8" w:space="0" w:color="000000"/>
            </w:tcBorders>
            <w:vAlign w:val="center"/>
          </w:tcPr>
          <w:p w14:paraId="48189594" w14:textId="007A15EE"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722F2C59" w14:textId="408D3381" w:rsidR="009443C4" w:rsidRPr="007910BD" w:rsidRDefault="009443C4" w:rsidP="0043347C">
            <w:pPr>
              <w:pStyle w:val="Paragraph"/>
              <w:jc w:val="center"/>
              <w:rPr>
                <w:rFonts w:ascii="Aptos" w:hAnsi="Aptos" w:cstheme="minorHAnsi"/>
              </w:rPr>
            </w:pPr>
            <w:r>
              <w:rPr>
                <w:rFonts w:ascii="Aptos" w:hAnsi="Aptos" w:cstheme="minorHAnsi"/>
              </w:rPr>
              <w:t>6</w:t>
            </w:r>
          </w:p>
        </w:tc>
        <w:tc>
          <w:tcPr>
            <w:tcW w:w="756" w:type="pct"/>
            <w:tcBorders>
              <w:top w:val="single" w:sz="8" w:space="0" w:color="000000"/>
              <w:left w:val="single" w:sz="8" w:space="0" w:color="000000"/>
              <w:bottom w:val="single" w:sz="8" w:space="0" w:color="000000"/>
              <w:right w:val="single" w:sz="8" w:space="0" w:color="000000"/>
            </w:tcBorders>
            <w:vAlign w:val="center"/>
          </w:tcPr>
          <w:p w14:paraId="16C54D84" w14:textId="76F4F0E3" w:rsidR="009443C4" w:rsidRPr="00D77A18" w:rsidRDefault="00A75759" w:rsidP="0043347C">
            <w:pPr>
              <w:pStyle w:val="Paragraph"/>
              <w:jc w:val="center"/>
              <w:rPr>
                <w:rFonts w:ascii="Aptos" w:hAnsi="Aptos" w:cstheme="minorHAnsi"/>
              </w:rPr>
            </w:pPr>
            <w:r>
              <w:rPr>
                <w:rFonts w:ascii="Aptos" w:hAnsi="Aptos" w:cstheme="minorHAnsi"/>
              </w:rPr>
              <w:t>5.4</w:t>
            </w:r>
          </w:p>
        </w:tc>
        <w:tc>
          <w:tcPr>
            <w:tcW w:w="1178" w:type="pct"/>
            <w:tcBorders>
              <w:top w:val="single" w:sz="8" w:space="0" w:color="000000"/>
              <w:left w:val="single" w:sz="8" w:space="0" w:color="000000"/>
              <w:bottom w:val="single" w:sz="8" w:space="0" w:color="000000"/>
              <w:right w:val="single" w:sz="8" w:space="0" w:color="000000"/>
            </w:tcBorders>
            <w:vAlign w:val="center"/>
          </w:tcPr>
          <w:p w14:paraId="2A3B8C1C" w14:textId="788955CB"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r w:rsidR="009443C4" w:rsidRPr="007617B0" w14:paraId="2ED1E49E"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4D2971D3" w14:textId="43C201CF" w:rsidR="009443C4" w:rsidRPr="00135350" w:rsidRDefault="009443C4" w:rsidP="009443C4">
            <w:pPr>
              <w:rPr>
                <w:rFonts w:cs="Arial"/>
                <w:sz w:val="20"/>
                <w:szCs w:val="20"/>
              </w:rPr>
            </w:pPr>
            <w:r w:rsidRPr="007E6019">
              <w:rPr>
                <w:rFonts w:ascii="Aptos" w:hAnsi="Aptos" w:cstheme="minorHAnsi"/>
              </w:rPr>
              <w:t>F1 - Health &amp; Safety</w:t>
            </w:r>
          </w:p>
        </w:tc>
        <w:tc>
          <w:tcPr>
            <w:tcW w:w="861" w:type="pct"/>
            <w:tcBorders>
              <w:top w:val="single" w:sz="8" w:space="0" w:color="000000"/>
              <w:left w:val="single" w:sz="8" w:space="0" w:color="000000"/>
              <w:bottom w:val="single" w:sz="8" w:space="0" w:color="000000"/>
              <w:right w:val="single" w:sz="8" w:space="0" w:color="000000"/>
            </w:tcBorders>
            <w:vAlign w:val="center"/>
          </w:tcPr>
          <w:p w14:paraId="4A00771B" w14:textId="6EA3483C"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0EE61D47" w14:textId="03FDAA3E" w:rsidR="009443C4" w:rsidRPr="007910BD" w:rsidRDefault="009443C4" w:rsidP="0043347C">
            <w:pPr>
              <w:pStyle w:val="Paragraph"/>
              <w:jc w:val="center"/>
              <w:rPr>
                <w:rFonts w:ascii="Aptos" w:hAnsi="Aptos" w:cstheme="minorHAnsi"/>
              </w:rPr>
            </w:pPr>
            <w:r>
              <w:rPr>
                <w:rFonts w:ascii="Aptos" w:hAnsi="Aptos" w:cstheme="minorHAnsi"/>
              </w:rPr>
              <w:t>6</w:t>
            </w:r>
          </w:p>
        </w:tc>
        <w:tc>
          <w:tcPr>
            <w:tcW w:w="756" w:type="pct"/>
            <w:tcBorders>
              <w:top w:val="single" w:sz="8" w:space="0" w:color="000000"/>
              <w:left w:val="single" w:sz="8" w:space="0" w:color="000000"/>
              <w:bottom w:val="single" w:sz="8" w:space="0" w:color="000000"/>
              <w:right w:val="single" w:sz="8" w:space="0" w:color="000000"/>
            </w:tcBorders>
            <w:vAlign w:val="center"/>
          </w:tcPr>
          <w:p w14:paraId="2CFDF7CC" w14:textId="274EF239" w:rsidR="009443C4" w:rsidRPr="00D77A18" w:rsidRDefault="0047323D" w:rsidP="0043347C">
            <w:pPr>
              <w:pStyle w:val="Paragraph"/>
              <w:jc w:val="center"/>
              <w:rPr>
                <w:rFonts w:ascii="Aptos" w:hAnsi="Aptos" w:cstheme="minorHAnsi"/>
              </w:rPr>
            </w:pPr>
            <w:r>
              <w:rPr>
                <w:rFonts w:ascii="Aptos" w:hAnsi="Aptos" w:cstheme="minorHAnsi"/>
              </w:rPr>
              <w:t>5.4</w:t>
            </w:r>
          </w:p>
        </w:tc>
        <w:tc>
          <w:tcPr>
            <w:tcW w:w="1178" w:type="pct"/>
            <w:tcBorders>
              <w:top w:val="single" w:sz="8" w:space="0" w:color="000000"/>
              <w:left w:val="single" w:sz="8" w:space="0" w:color="000000"/>
              <w:bottom w:val="single" w:sz="8" w:space="0" w:color="000000"/>
              <w:right w:val="single" w:sz="8" w:space="0" w:color="000000"/>
            </w:tcBorders>
            <w:vAlign w:val="center"/>
          </w:tcPr>
          <w:p w14:paraId="26182022" w14:textId="47AD4B26"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r w:rsidR="009443C4" w:rsidRPr="007617B0" w14:paraId="5D98F210"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453C53E5" w14:textId="0ABFCA58" w:rsidR="009443C4" w:rsidRPr="00135350" w:rsidRDefault="009443C4" w:rsidP="009443C4">
            <w:pPr>
              <w:rPr>
                <w:rFonts w:cs="Arial"/>
                <w:sz w:val="20"/>
                <w:szCs w:val="20"/>
              </w:rPr>
            </w:pPr>
            <w:r w:rsidRPr="007E6019">
              <w:rPr>
                <w:rFonts w:ascii="Aptos" w:hAnsi="Aptos" w:cstheme="minorHAnsi"/>
              </w:rPr>
              <w:t>G1 - C.O.S.H.H.</w:t>
            </w:r>
          </w:p>
        </w:tc>
        <w:tc>
          <w:tcPr>
            <w:tcW w:w="861" w:type="pct"/>
            <w:tcBorders>
              <w:top w:val="single" w:sz="8" w:space="0" w:color="000000"/>
              <w:left w:val="single" w:sz="8" w:space="0" w:color="000000"/>
              <w:bottom w:val="single" w:sz="8" w:space="0" w:color="000000"/>
              <w:right w:val="single" w:sz="8" w:space="0" w:color="000000"/>
            </w:tcBorders>
            <w:vAlign w:val="center"/>
          </w:tcPr>
          <w:p w14:paraId="366B5182" w14:textId="657720E8"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4E22AF7C" w14:textId="448D0EA7" w:rsidR="009443C4" w:rsidRPr="007910BD" w:rsidRDefault="009443C4" w:rsidP="0043347C">
            <w:pPr>
              <w:pStyle w:val="Paragraph"/>
              <w:jc w:val="center"/>
              <w:rPr>
                <w:rFonts w:ascii="Aptos" w:hAnsi="Aptos" w:cstheme="minorHAnsi"/>
              </w:rPr>
            </w:pPr>
            <w:r>
              <w:rPr>
                <w:rFonts w:ascii="Aptos" w:hAnsi="Aptos" w:cstheme="minorHAnsi"/>
              </w:rPr>
              <w:t>4</w:t>
            </w:r>
          </w:p>
        </w:tc>
        <w:tc>
          <w:tcPr>
            <w:tcW w:w="756" w:type="pct"/>
            <w:tcBorders>
              <w:top w:val="single" w:sz="8" w:space="0" w:color="000000"/>
              <w:left w:val="single" w:sz="8" w:space="0" w:color="000000"/>
              <w:bottom w:val="single" w:sz="8" w:space="0" w:color="000000"/>
              <w:right w:val="single" w:sz="8" w:space="0" w:color="000000"/>
            </w:tcBorders>
            <w:vAlign w:val="center"/>
          </w:tcPr>
          <w:p w14:paraId="23B2F7EC" w14:textId="4E4911DD" w:rsidR="009443C4" w:rsidRPr="00D77A18" w:rsidRDefault="002F165F" w:rsidP="0043347C">
            <w:pPr>
              <w:pStyle w:val="Paragraph"/>
              <w:jc w:val="center"/>
              <w:rPr>
                <w:rFonts w:ascii="Aptos" w:hAnsi="Aptos" w:cstheme="minorHAnsi"/>
              </w:rPr>
            </w:pPr>
            <w:r>
              <w:rPr>
                <w:rFonts w:ascii="Aptos" w:hAnsi="Aptos" w:cstheme="minorHAnsi"/>
              </w:rPr>
              <w:t>3.</w:t>
            </w:r>
            <w:r w:rsidR="0047323D">
              <w:rPr>
                <w:rFonts w:ascii="Aptos" w:hAnsi="Aptos" w:cstheme="minorHAnsi"/>
              </w:rPr>
              <w:t>6</w:t>
            </w:r>
          </w:p>
        </w:tc>
        <w:tc>
          <w:tcPr>
            <w:tcW w:w="1178" w:type="pct"/>
            <w:tcBorders>
              <w:top w:val="single" w:sz="8" w:space="0" w:color="000000"/>
              <w:left w:val="single" w:sz="8" w:space="0" w:color="000000"/>
              <w:bottom w:val="single" w:sz="8" w:space="0" w:color="000000"/>
              <w:right w:val="single" w:sz="8" w:space="0" w:color="000000"/>
            </w:tcBorders>
            <w:vAlign w:val="center"/>
          </w:tcPr>
          <w:p w14:paraId="23DDE457" w14:textId="5E28DB20"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r w:rsidR="009443C4" w:rsidRPr="007617B0" w14:paraId="71F44C1F"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4F8B49F2" w14:textId="79E35409" w:rsidR="009443C4" w:rsidRPr="00427741" w:rsidRDefault="009443C4" w:rsidP="009443C4">
            <w:pPr>
              <w:rPr>
                <w:rFonts w:ascii="Aptos" w:hAnsi="Aptos" w:cstheme="minorHAnsi"/>
              </w:rPr>
            </w:pPr>
            <w:r w:rsidRPr="00427741">
              <w:rPr>
                <w:rFonts w:ascii="Aptos" w:hAnsi="Aptos" w:cstheme="minorHAnsi"/>
              </w:rPr>
              <w:t>I1 – Account Management</w:t>
            </w:r>
          </w:p>
        </w:tc>
        <w:tc>
          <w:tcPr>
            <w:tcW w:w="861" w:type="pct"/>
            <w:tcBorders>
              <w:top w:val="single" w:sz="8" w:space="0" w:color="000000"/>
              <w:left w:val="single" w:sz="8" w:space="0" w:color="000000"/>
              <w:bottom w:val="single" w:sz="8" w:space="0" w:color="000000"/>
              <w:right w:val="single" w:sz="8" w:space="0" w:color="000000"/>
            </w:tcBorders>
            <w:vAlign w:val="center"/>
          </w:tcPr>
          <w:p w14:paraId="2DA0A59A" w14:textId="745CAFEB"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06FDD2E0" w14:textId="7D93EF63" w:rsidR="009443C4" w:rsidRPr="007910BD" w:rsidRDefault="009443C4" w:rsidP="0043347C">
            <w:pPr>
              <w:pStyle w:val="Paragraph"/>
              <w:jc w:val="center"/>
              <w:rPr>
                <w:rFonts w:ascii="Aptos" w:hAnsi="Aptos" w:cstheme="minorHAnsi"/>
              </w:rPr>
            </w:pPr>
            <w:r>
              <w:rPr>
                <w:rFonts w:ascii="Aptos" w:hAnsi="Aptos" w:cstheme="minorHAnsi"/>
              </w:rPr>
              <w:t>8</w:t>
            </w:r>
          </w:p>
        </w:tc>
        <w:tc>
          <w:tcPr>
            <w:tcW w:w="756" w:type="pct"/>
            <w:tcBorders>
              <w:top w:val="single" w:sz="8" w:space="0" w:color="000000"/>
              <w:left w:val="single" w:sz="8" w:space="0" w:color="000000"/>
              <w:bottom w:val="single" w:sz="8" w:space="0" w:color="000000"/>
              <w:right w:val="single" w:sz="8" w:space="0" w:color="000000"/>
            </w:tcBorders>
            <w:vAlign w:val="center"/>
          </w:tcPr>
          <w:p w14:paraId="528F8B41" w14:textId="0525990A" w:rsidR="009443C4" w:rsidRPr="00D77A18" w:rsidRDefault="0047323D" w:rsidP="0043347C">
            <w:pPr>
              <w:pStyle w:val="Paragraph"/>
              <w:jc w:val="center"/>
              <w:rPr>
                <w:rFonts w:ascii="Aptos" w:hAnsi="Aptos" w:cstheme="minorHAnsi"/>
              </w:rPr>
            </w:pPr>
            <w:r>
              <w:rPr>
                <w:rFonts w:ascii="Aptos" w:hAnsi="Aptos" w:cstheme="minorHAnsi"/>
              </w:rPr>
              <w:t>7.2</w:t>
            </w:r>
          </w:p>
        </w:tc>
        <w:tc>
          <w:tcPr>
            <w:tcW w:w="1178" w:type="pct"/>
            <w:tcBorders>
              <w:top w:val="single" w:sz="8" w:space="0" w:color="000000"/>
              <w:left w:val="single" w:sz="8" w:space="0" w:color="000000"/>
              <w:bottom w:val="single" w:sz="8" w:space="0" w:color="000000"/>
              <w:right w:val="single" w:sz="8" w:space="0" w:color="000000"/>
            </w:tcBorders>
            <w:vAlign w:val="center"/>
          </w:tcPr>
          <w:p w14:paraId="67DE1913" w14:textId="606B5129"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r w:rsidR="009443C4" w:rsidRPr="007617B0" w14:paraId="23B8E932"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4DC657E1" w14:textId="47A00859" w:rsidR="009443C4" w:rsidRPr="00427741" w:rsidRDefault="009443C4" w:rsidP="009443C4">
            <w:pPr>
              <w:rPr>
                <w:rFonts w:ascii="Aptos" w:hAnsi="Aptos" w:cstheme="minorHAnsi"/>
              </w:rPr>
            </w:pPr>
            <w:r w:rsidRPr="00427741">
              <w:rPr>
                <w:rFonts w:ascii="Aptos" w:hAnsi="Aptos" w:cstheme="minorHAnsi"/>
              </w:rPr>
              <w:t>J1 - Marketing</w:t>
            </w:r>
          </w:p>
        </w:tc>
        <w:tc>
          <w:tcPr>
            <w:tcW w:w="861" w:type="pct"/>
            <w:tcBorders>
              <w:top w:val="single" w:sz="8" w:space="0" w:color="000000"/>
              <w:left w:val="single" w:sz="8" w:space="0" w:color="000000"/>
              <w:bottom w:val="single" w:sz="8" w:space="0" w:color="000000"/>
              <w:right w:val="single" w:sz="8" w:space="0" w:color="000000"/>
            </w:tcBorders>
            <w:vAlign w:val="center"/>
          </w:tcPr>
          <w:p w14:paraId="4D263EB6" w14:textId="644684FA"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4F409C24" w14:textId="2F53B05D" w:rsidR="009443C4" w:rsidRPr="007910BD" w:rsidRDefault="009443C4" w:rsidP="0043347C">
            <w:pPr>
              <w:pStyle w:val="Paragraph"/>
              <w:jc w:val="center"/>
              <w:rPr>
                <w:rFonts w:ascii="Aptos" w:hAnsi="Aptos" w:cstheme="minorHAnsi"/>
              </w:rPr>
            </w:pPr>
            <w:r>
              <w:rPr>
                <w:rFonts w:ascii="Aptos" w:hAnsi="Aptos" w:cstheme="minorHAnsi"/>
              </w:rPr>
              <w:t>8</w:t>
            </w:r>
          </w:p>
        </w:tc>
        <w:tc>
          <w:tcPr>
            <w:tcW w:w="756" w:type="pct"/>
            <w:tcBorders>
              <w:top w:val="single" w:sz="8" w:space="0" w:color="000000"/>
              <w:left w:val="single" w:sz="8" w:space="0" w:color="000000"/>
              <w:bottom w:val="single" w:sz="8" w:space="0" w:color="000000"/>
              <w:right w:val="single" w:sz="8" w:space="0" w:color="000000"/>
            </w:tcBorders>
            <w:vAlign w:val="center"/>
          </w:tcPr>
          <w:p w14:paraId="7CB2EA9D" w14:textId="4F95885C" w:rsidR="009443C4" w:rsidRPr="00D77A18" w:rsidRDefault="0047323D" w:rsidP="0043347C">
            <w:pPr>
              <w:pStyle w:val="Paragraph"/>
              <w:jc w:val="center"/>
              <w:rPr>
                <w:rFonts w:ascii="Aptos" w:hAnsi="Aptos" w:cstheme="minorHAnsi"/>
              </w:rPr>
            </w:pPr>
            <w:r>
              <w:rPr>
                <w:rFonts w:ascii="Aptos" w:hAnsi="Aptos" w:cstheme="minorHAnsi"/>
              </w:rPr>
              <w:t>7.2</w:t>
            </w:r>
          </w:p>
        </w:tc>
        <w:tc>
          <w:tcPr>
            <w:tcW w:w="1178" w:type="pct"/>
            <w:tcBorders>
              <w:top w:val="single" w:sz="8" w:space="0" w:color="000000"/>
              <w:left w:val="single" w:sz="8" w:space="0" w:color="000000"/>
              <w:bottom w:val="single" w:sz="8" w:space="0" w:color="000000"/>
              <w:right w:val="single" w:sz="8" w:space="0" w:color="000000"/>
            </w:tcBorders>
            <w:vAlign w:val="center"/>
          </w:tcPr>
          <w:p w14:paraId="76DF8B8F" w14:textId="10157960"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r w:rsidR="009443C4" w:rsidRPr="007617B0" w14:paraId="299B8AE0" w14:textId="77777777" w:rsidTr="007A5A66">
        <w:tc>
          <w:tcPr>
            <w:tcW w:w="1392" w:type="pct"/>
            <w:tcBorders>
              <w:top w:val="single" w:sz="8" w:space="0" w:color="000000"/>
              <w:left w:val="single" w:sz="8" w:space="0" w:color="000000"/>
              <w:bottom w:val="single" w:sz="8" w:space="0" w:color="000000"/>
              <w:right w:val="single" w:sz="8" w:space="0" w:color="000000"/>
            </w:tcBorders>
          </w:tcPr>
          <w:p w14:paraId="07D6FBCF" w14:textId="73116671" w:rsidR="009443C4" w:rsidRPr="00427741" w:rsidRDefault="009443C4" w:rsidP="009443C4">
            <w:pPr>
              <w:rPr>
                <w:rFonts w:ascii="Aptos" w:hAnsi="Aptos" w:cstheme="minorHAnsi"/>
              </w:rPr>
            </w:pPr>
            <w:r w:rsidRPr="00427741">
              <w:rPr>
                <w:rFonts w:ascii="Aptos" w:hAnsi="Aptos" w:cstheme="minorHAnsi"/>
              </w:rPr>
              <w:t>K1 – Mobilisation plan</w:t>
            </w:r>
          </w:p>
        </w:tc>
        <w:tc>
          <w:tcPr>
            <w:tcW w:w="861" w:type="pct"/>
            <w:tcBorders>
              <w:top w:val="single" w:sz="8" w:space="0" w:color="000000"/>
              <w:left w:val="single" w:sz="8" w:space="0" w:color="000000"/>
              <w:bottom w:val="single" w:sz="8" w:space="0" w:color="000000"/>
              <w:right w:val="single" w:sz="8" w:space="0" w:color="000000"/>
            </w:tcBorders>
            <w:vAlign w:val="center"/>
          </w:tcPr>
          <w:p w14:paraId="5D86E31A" w14:textId="393CBA2C" w:rsidR="009443C4" w:rsidRPr="0043347C" w:rsidRDefault="009443C4" w:rsidP="0043347C">
            <w:pPr>
              <w:pStyle w:val="Paragraph"/>
              <w:jc w:val="center"/>
              <w:rPr>
                <w:rFonts w:ascii="Aptos" w:hAnsi="Aptos" w:cstheme="minorHAnsi"/>
              </w:rPr>
            </w:pPr>
            <w:r w:rsidRPr="0043347C">
              <w:rPr>
                <w:rFonts w:ascii="Aptos" w:hAnsi="Aptos" w:cstheme="minorHAnsi"/>
              </w:rPr>
              <w:t>40</w:t>
            </w:r>
          </w:p>
        </w:tc>
        <w:tc>
          <w:tcPr>
            <w:tcW w:w="813" w:type="pct"/>
            <w:tcBorders>
              <w:top w:val="single" w:sz="8" w:space="0" w:color="000000"/>
              <w:left w:val="single" w:sz="8" w:space="0" w:color="000000"/>
              <w:bottom w:val="single" w:sz="8" w:space="0" w:color="000000"/>
              <w:right w:val="single" w:sz="8" w:space="0" w:color="000000"/>
            </w:tcBorders>
            <w:vAlign w:val="center"/>
          </w:tcPr>
          <w:p w14:paraId="1AC35169" w14:textId="38A19BF4" w:rsidR="009443C4" w:rsidRPr="007910BD" w:rsidRDefault="009443C4" w:rsidP="0043347C">
            <w:pPr>
              <w:pStyle w:val="Paragraph"/>
              <w:jc w:val="center"/>
              <w:rPr>
                <w:rFonts w:ascii="Aptos" w:hAnsi="Aptos" w:cstheme="minorHAnsi"/>
              </w:rPr>
            </w:pPr>
            <w:r>
              <w:rPr>
                <w:rFonts w:ascii="Aptos" w:hAnsi="Aptos" w:cstheme="minorHAnsi"/>
              </w:rPr>
              <w:t>5</w:t>
            </w:r>
          </w:p>
        </w:tc>
        <w:tc>
          <w:tcPr>
            <w:tcW w:w="756" w:type="pct"/>
            <w:tcBorders>
              <w:top w:val="single" w:sz="8" w:space="0" w:color="000000"/>
              <w:left w:val="single" w:sz="8" w:space="0" w:color="000000"/>
              <w:bottom w:val="single" w:sz="8" w:space="0" w:color="000000"/>
              <w:right w:val="single" w:sz="8" w:space="0" w:color="000000"/>
            </w:tcBorders>
            <w:vAlign w:val="center"/>
          </w:tcPr>
          <w:p w14:paraId="5216F160" w14:textId="097145D9" w:rsidR="009443C4" w:rsidRPr="00D77A18" w:rsidRDefault="002878D8" w:rsidP="0043347C">
            <w:pPr>
              <w:pStyle w:val="Paragraph"/>
              <w:jc w:val="center"/>
              <w:rPr>
                <w:rFonts w:ascii="Aptos" w:hAnsi="Aptos" w:cstheme="minorHAnsi"/>
              </w:rPr>
            </w:pPr>
            <w:r>
              <w:rPr>
                <w:rFonts w:ascii="Aptos" w:hAnsi="Aptos" w:cstheme="minorHAnsi"/>
              </w:rPr>
              <w:t>4.5</w:t>
            </w:r>
          </w:p>
        </w:tc>
        <w:tc>
          <w:tcPr>
            <w:tcW w:w="1178" w:type="pct"/>
            <w:tcBorders>
              <w:top w:val="single" w:sz="8" w:space="0" w:color="000000"/>
              <w:left w:val="single" w:sz="8" w:space="0" w:color="000000"/>
              <w:bottom w:val="single" w:sz="8" w:space="0" w:color="000000"/>
              <w:right w:val="single" w:sz="8" w:space="0" w:color="000000"/>
            </w:tcBorders>
            <w:vAlign w:val="center"/>
          </w:tcPr>
          <w:p w14:paraId="5536CD9C" w14:textId="02EB6E2E" w:rsidR="009443C4" w:rsidRPr="0043347C" w:rsidRDefault="009443C4" w:rsidP="0043347C">
            <w:pPr>
              <w:pStyle w:val="Paragraph"/>
              <w:jc w:val="center"/>
              <w:rPr>
                <w:rFonts w:ascii="Aptos" w:hAnsi="Aptos" w:cstheme="minorHAnsi"/>
              </w:rPr>
            </w:pPr>
            <w:r w:rsidRPr="0043347C">
              <w:rPr>
                <w:rFonts w:ascii="Aptos" w:hAnsi="Aptos" w:cstheme="minorHAnsi"/>
              </w:rPr>
              <w:t>Written</w:t>
            </w:r>
          </w:p>
        </w:tc>
      </w:tr>
    </w:tbl>
    <w:p w14:paraId="57B0A8D5" w14:textId="7C4CBDEA" w:rsidR="00F23D6B" w:rsidRPr="0005464B" w:rsidRDefault="00F23D6B" w:rsidP="0043347C">
      <w:pPr>
        <w:pStyle w:val="Untitledsubclause1"/>
        <w:numPr>
          <w:ilvl w:val="1"/>
          <w:numId w:val="68"/>
        </w:numPr>
        <w:rPr>
          <w:rFonts w:ascii="Aptos" w:hAnsi="Aptos"/>
          <w:b/>
        </w:rPr>
      </w:pPr>
      <w:bookmarkStart w:id="210" w:name="_Toc208856272"/>
      <w:bookmarkStart w:id="211" w:name="_Toc208864918"/>
      <w:r w:rsidRPr="0005464B">
        <w:rPr>
          <w:rFonts w:ascii="Aptos" w:hAnsi="Aptos"/>
          <w:b/>
        </w:rPr>
        <w:t xml:space="preserve">Evaluation </w:t>
      </w:r>
      <w:r w:rsidR="00A76620" w:rsidRPr="0005464B">
        <w:rPr>
          <w:rFonts w:ascii="Aptos" w:hAnsi="Aptos"/>
          <w:b/>
        </w:rPr>
        <w:t>methodology</w:t>
      </w:r>
      <w:bookmarkEnd w:id="210"/>
      <w:bookmarkEnd w:id="211"/>
    </w:p>
    <w:p w14:paraId="31D1B460" w14:textId="77777777" w:rsidR="00F23D6B" w:rsidRPr="00F13A79" w:rsidRDefault="00F23D6B" w:rsidP="0043347C">
      <w:pPr>
        <w:pStyle w:val="pf0"/>
        <w:rPr>
          <w:rFonts w:ascii="Aptos" w:hAnsi="Aptos" w:cstheme="minorHAnsi"/>
        </w:rPr>
      </w:pPr>
      <w:r w:rsidRPr="00F13A79">
        <w:rPr>
          <w:rStyle w:val="cf01"/>
          <w:rFonts w:ascii="Aptos" w:hAnsi="Aptos" w:cstheme="minorHAnsi"/>
          <w:sz w:val="22"/>
          <w:szCs w:val="22"/>
        </w:rPr>
        <w:t>The methodology to be used to evaluate and, if necessary, moderate, the written responses is:</w:t>
      </w:r>
    </w:p>
    <w:p w14:paraId="5501A7D5" w14:textId="182EF83F" w:rsidR="00F23D6B" w:rsidRPr="00E91518" w:rsidRDefault="00F23D6B" w:rsidP="0043347C">
      <w:pPr>
        <w:pStyle w:val="pf0"/>
        <w:numPr>
          <w:ilvl w:val="2"/>
          <w:numId w:val="68"/>
        </w:numPr>
        <w:spacing w:line="276" w:lineRule="auto"/>
        <w:ind w:left="1440" w:hanging="720"/>
        <w:rPr>
          <w:rStyle w:val="cf01"/>
          <w:rFonts w:ascii="Aptos" w:eastAsiaTheme="minorHAnsi" w:hAnsi="Aptos" w:cstheme="minorHAnsi"/>
          <w:b/>
          <w:kern w:val="2"/>
          <w:sz w:val="22"/>
          <w:szCs w:val="22"/>
        </w:rPr>
      </w:pPr>
      <w:bookmarkStart w:id="212" w:name="_Toc208856090"/>
      <w:bookmarkStart w:id="213" w:name="_Toc208856273"/>
      <w:bookmarkStart w:id="214" w:name="_Toc208856274"/>
      <w:bookmarkEnd w:id="212"/>
      <w:bookmarkEnd w:id="213"/>
      <w:r w:rsidRPr="00E91518">
        <w:rPr>
          <w:rStyle w:val="cf01"/>
          <w:rFonts w:ascii="Aptos" w:hAnsi="Aptos" w:cstheme="minorHAnsi"/>
          <w:sz w:val="22"/>
          <w:szCs w:val="22"/>
        </w:rPr>
        <w:lastRenderedPageBreak/>
        <w:t>Each individual scorer will be required to score each written response using one of the possible scores set out in the scoring guide in this ITT.</w:t>
      </w:r>
      <w:bookmarkEnd w:id="214"/>
      <w:r w:rsidR="0012116D">
        <w:rPr>
          <w:rStyle w:val="cf01"/>
          <w:rFonts w:ascii="Aptos" w:hAnsi="Aptos" w:cstheme="minorHAnsi"/>
          <w:sz w:val="22"/>
          <w:szCs w:val="22"/>
        </w:rPr>
        <w:br/>
      </w:r>
    </w:p>
    <w:p w14:paraId="3B9071DE" w14:textId="38B989CE" w:rsidR="00F23D6B" w:rsidRPr="00E91518" w:rsidRDefault="00F23D6B" w:rsidP="0043347C">
      <w:pPr>
        <w:pStyle w:val="pf0"/>
        <w:numPr>
          <w:ilvl w:val="2"/>
          <w:numId w:val="68"/>
        </w:numPr>
        <w:spacing w:line="276" w:lineRule="auto"/>
        <w:ind w:left="1440" w:hanging="720"/>
        <w:rPr>
          <w:rStyle w:val="cf01"/>
          <w:rFonts w:ascii="Aptos" w:hAnsi="Aptos" w:cstheme="minorHAnsi"/>
          <w:b/>
          <w:sz w:val="22"/>
          <w:szCs w:val="22"/>
        </w:rPr>
      </w:pPr>
      <w:bookmarkStart w:id="215" w:name="_Toc208856275"/>
      <w:r w:rsidRPr="00E91518">
        <w:rPr>
          <w:rStyle w:val="cf01"/>
          <w:rFonts w:ascii="Aptos" w:hAnsi="Aptos" w:cstheme="minorHAnsi"/>
          <w:sz w:val="22"/>
          <w:szCs w:val="22"/>
        </w:rPr>
        <w:t>Completed scoring forms will be submitted to a moderator who has not been involved in the scoring process.</w:t>
      </w:r>
      <w:bookmarkEnd w:id="215"/>
      <w:r w:rsidR="0012116D">
        <w:rPr>
          <w:rStyle w:val="cf01"/>
          <w:rFonts w:ascii="Aptos" w:hAnsi="Aptos" w:cstheme="minorHAnsi"/>
          <w:sz w:val="22"/>
          <w:szCs w:val="22"/>
        </w:rPr>
        <w:br/>
      </w:r>
    </w:p>
    <w:p w14:paraId="2F6D232C" w14:textId="52D30FB3" w:rsidR="00F23D6B" w:rsidRPr="00E91518" w:rsidRDefault="00F23D6B" w:rsidP="0043347C">
      <w:pPr>
        <w:pStyle w:val="pf0"/>
        <w:numPr>
          <w:ilvl w:val="2"/>
          <w:numId w:val="68"/>
        </w:numPr>
        <w:spacing w:line="276" w:lineRule="auto"/>
        <w:ind w:left="1440" w:hanging="720"/>
        <w:rPr>
          <w:rStyle w:val="cf01"/>
          <w:rFonts w:ascii="Aptos" w:hAnsi="Aptos" w:cstheme="minorHAnsi"/>
          <w:b/>
          <w:sz w:val="22"/>
          <w:szCs w:val="22"/>
        </w:rPr>
      </w:pPr>
      <w:bookmarkStart w:id="216" w:name="_Toc208856276"/>
      <w:r w:rsidRPr="00E91518">
        <w:rPr>
          <w:rStyle w:val="cf01"/>
          <w:rFonts w:ascii="Aptos" w:hAnsi="Aptos" w:cstheme="minorHAnsi"/>
          <w:sz w:val="22"/>
          <w:szCs w:val="22"/>
        </w:rPr>
        <w:t>The moderator will compare all individuals’ scores and identify whether and where there are any areas of major difference in scoring between scorers. A major difference is defined as any instance where the scores of any two or more individual evaluators to the same response differ by two or more scoring levels.</w:t>
      </w:r>
      <w:bookmarkEnd w:id="216"/>
    </w:p>
    <w:p w14:paraId="08EB1A71" w14:textId="2DE42832" w:rsidR="00F23D6B" w:rsidRPr="00F13A79" w:rsidRDefault="00F23D6B" w:rsidP="0043347C">
      <w:pPr>
        <w:pStyle w:val="pf0"/>
        <w:numPr>
          <w:ilvl w:val="0"/>
          <w:numId w:val="45"/>
        </w:numPr>
        <w:spacing w:line="276" w:lineRule="auto"/>
        <w:rPr>
          <w:rFonts w:ascii="Aptos" w:hAnsi="Aptos" w:cstheme="minorHAnsi"/>
        </w:rPr>
      </w:pPr>
      <w:r w:rsidRPr="00F13A79">
        <w:rPr>
          <w:rStyle w:val="cf01"/>
          <w:rFonts w:ascii="Aptos" w:hAnsi="Aptos" w:cstheme="minorHAnsi"/>
          <w:sz w:val="22"/>
          <w:szCs w:val="22"/>
        </w:rPr>
        <w:t xml:space="preserve">Example 1. Five scorers of an ITT independently score a response to a specific question with scores of 9, </w:t>
      </w:r>
      <w:r w:rsidR="00CA75C6" w:rsidRPr="00F13A79">
        <w:rPr>
          <w:rStyle w:val="cf01"/>
          <w:rFonts w:ascii="Aptos" w:hAnsi="Aptos" w:cstheme="minorHAnsi"/>
          <w:sz w:val="22"/>
          <w:szCs w:val="22"/>
        </w:rPr>
        <w:t xml:space="preserve">7, </w:t>
      </w:r>
      <w:r w:rsidRPr="00F13A79">
        <w:rPr>
          <w:rStyle w:val="cf01"/>
          <w:rFonts w:ascii="Aptos" w:hAnsi="Aptos" w:cstheme="minorHAnsi"/>
          <w:sz w:val="22"/>
          <w:szCs w:val="22"/>
        </w:rPr>
        <w:t>8, 9, 7. The scores 9 and 7 differ by only one scoring level and therefore moderation is not required.</w:t>
      </w:r>
      <w:r w:rsidR="001D07D9">
        <w:rPr>
          <w:rStyle w:val="cf01"/>
          <w:rFonts w:ascii="Aptos" w:hAnsi="Aptos" w:cstheme="minorHAnsi"/>
          <w:sz w:val="22"/>
          <w:szCs w:val="22"/>
        </w:rPr>
        <w:br/>
      </w:r>
    </w:p>
    <w:p w14:paraId="3E621128" w14:textId="0474A2CC" w:rsidR="00F23D6B" w:rsidRPr="00F13A79" w:rsidRDefault="00F23D6B" w:rsidP="0043347C">
      <w:pPr>
        <w:pStyle w:val="pf0"/>
        <w:numPr>
          <w:ilvl w:val="0"/>
          <w:numId w:val="45"/>
        </w:numPr>
        <w:spacing w:line="276" w:lineRule="auto"/>
        <w:rPr>
          <w:rFonts w:ascii="Aptos" w:hAnsi="Aptos" w:cstheme="minorHAnsi"/>
        </w:rPr>
      </w:pPr>
      <w:r w:rsidRPr="00F13A79">
        <w:rPr>
          <w:rStyle w:val="cf01"/>
          <w:rFonts w:ascii="Aptos" w:hAnsi="Aptos" w:cstheme="minorHAnsi"/>
          <w:sz w:val="22"/>
          <w:szCs w:val="22"/>
        </w:rPr>
        <w:t>Example 2. Five scorers of an ITT independently score a response to a specific question with scores 9, 8, 9, 6</w:t>
      </w:r>
      <w:r w:rsidR="00CA75C6" w:rsidRPr="00F13A79">
        <w:rPr>
          <w:rStyle w:val="cf01"/>
          <w:rFonts w:ascii="Aptos" w:hAnsi="Aptos" w:cstheme="minorHAnsi"/>
          <w:sz w:val="22"/>
          <w:szCs w:val="22"/>
        </w:rPr>
        <w:t>,</w:t>
      </w:r>
      <w:r w:rsidR="004714FE" w:rsidRPr="00F13A79">
        <w:rPr>
          <w:rStyle w:val="cf01"/>
          <w:rFonts w:ascii="Aptos" w:hAnsi="Aptos" w:cstheme="minorHAnsi"/>
          <w:sz w:val="22"/>
          <w:szCs w:val="22"/>
        </w:rPr>
        <w:t xml:space="preserve"> 8</w:t>
      </w:r>
      <w:r w:rsidRPr="00F13A79">
        <w:rPr>
          <w:rStyle w:val="cf01"/>
          <w:rFonts w:ascii="Aptos" w:hAnsi="Aptos" w:cstheme="minorHAnsi"/>
          <w:sz w:val="22"/>
          <w:szCs w:val="22"/>
        </w:rPr>
        <w:t>. The scores 9 and 6 have two scoring levels of difference and therefore moderation is required.</w:t>
      </w:r>
    </w:p>
    <w:p w14:paraId="677EE501" w14:textId="54299697" w:rsidR="008C7E8D" w:rsidRPr="008C7E8D" w:rsidRDefault="00F23D6B" w:rsidP="0043347C">
      <w:pPr>
        <w:pStyle w:val="pf0"/>
        <w:numPr>
          <w:ilvl w:val="2"/>
          <w:numId w:val="68"/>
        </w:numPr>
        <w:spacing w:line="276" w:lineRule="auto"/>
        <w:ind w:left="1440" w:hanging="720"/>
        <w:rPr>
          <w:rStyle w:val="cf01"/>
          <w:rFonts w:ascii="Aptos" w:hAnsi="Aptos" w:cstheme="minorHAnsi"/>
          <w:b/>
          <w:sz w:val="22"/>
          <w:szCs w:val="22"/>
        </w:rPr>
      </w:pPr>
      <w:bookmarkStart w:id="217" w:name="_Toc208856277"/>
      <w:r w:rsidRPr="00E91518">
        <w:rPr>
          <w:rStyle w:val="cf01"/>
          <w:rFonts w:ascii="Aptos" w:hAnsi="Aptos" w:cstheme="minorHAnsi"/>
          <w:sz w:val="22"/>
          <w:szCs w:val="22"/>
        </w:rPr>
        <w:t>For any responses where major differences exist</w:t>
      </w:r>
      <w:r w:rsidR="00A56362" w:rsidRPr="00E91518">
        <w:rPr>
          <w:rStyle w:val="cf01"/>
          <w:rFonts w:ascii="Aptos" w:hAnsi="Aptos" w:cstheme="minorHAnsi"/>
          <w:sz w:val="22"/>
          <w:szCs w:val="22"/>
        </w:rPr>
        <w:t>,</w:t>
      </w:r>
      <w:r w:rsidRPr="00E91518">
        <w:rPr>
          <w:rStyle w:val="cf01"/>
          <w:rFonts w:ascii="Aptos" w:hAnsi="Aptos" w:cstheme="minorHAnsi"/>
          <w:sz w:val="22"/>
          <w:szCs w:val="22"/>
        </w:rPr>
        <w:t xml:space="preserve"> the moderator will convene a </w:t>
      </w:r>
      <w:r w:rsidR="008C7E8D">
        <w:rPr>
          <w:rStyle w:val="cf01"/>
          <w:rFonts w:ascii="Aptos" w:hAnsi="Aptos" w:cstheme="minorHAnsi"/>
          <w:sz w:val="22"/>
          <w:szCs w:val="22"/>
        </w:rPr>
        <w:t>m</w:t>
      </w:r>
      <w:r w:rsidRPr="00E91518">
        <w:rPr>
          <w:rStyle w:val="cf01"/>
          <w:rFonts w:ascii="Aptos" w:hAnsi="Aptos" w:cstheme="minorHAnsi"/>
          <w:sz w:val="22"/>
          <w:szCs w:val="22"/>
        </w:rPr>
        <w:t>oderation meeting which all scorers should attend.</w:t>
      </w:r>
      <w:bookmarkEnd w:id="217"/>
      <w:r w:rsidR="008C7E8D">
        <w:rPr>
          <w:rStyle w:val="cf01"/>
          <w:rFonts w:ascii="Aptos" w:hAnsi="Aptos" w:cstheme="minorHAnsi"/>
          <w:sz w:val="22"/>
          <w:szCs w:val="22"/>
        </w:rPr>
        <w:br/>
      </w:r>
    </w:p>
    <w:p w14:paraId="4B56B8CA" w14:textId="333EE398" w:rsidR="00F23D6B" w:rsidRPr="00E91518" w:rsidRDefault="00F23D6B" w:rsidP="0043347C">
      <w:pPr>
        <w:pStyle w:val="pf0"/>
        <w:numPr>
          <w:ilvl w:val="2"/>
          <w:numId w:val="68"/>
        </w:numPr>
        <w:spacing w:line="276" w:lineRule="auto"/>
        <w:ind w:left="1440" w:hanging="720"/>
        <w:rPr>
          <w:rStyle w:val="cf01"/>
          <w:rFonts w:ascii="Aptos" w:hAnsi="Aptos" w:cstheme="minorHAnsi"/>
          <w:b/>
          <w:sz w:val="22"/>
          <w:szCs w:val="22"/>
        </w:rPr>
      </w:pPr>
      <w:bookmarkStart w:id="218" w:name="_Toc208856278"/>
      <w:r w:rsidRPr="00E91518">
        <w:rPr>
          <w:rStyle w:val="cf01"/>
          <w:rFonts w:ascii="Aptos" w:hAnsi="Aptos" w:cstheme="minorHAnsi"/>
          <w:sz w:val="22"/>
          <w:szCs w:val="22"/>
        </w:rPr>
        <w:t>At the moderation meeting, and for each response where major differences exist, the scores will be reviewed and discussed and any changes to individuals’ scoring will be agreed to eliminate the major difference ideally by reaching a single common consensus score between the scorers. The reasons for any agreed changes in individual scoring will be recorded by the moderator.</w:t>
      </w:r>
      <w:bookmarkEnd w:id="218"/>
      <w:r w:rsidR="008C7E8D">
        <w:rPr>
          <w:rStyle w:val="cf01"/>
          <w:rFonts w:ascii="Aptos" w:hAnsi="Aptos" w:cstheme="minorHAnsi"/>
          <w:sz w:val="22"/>
          <w:szCs w:val="22"/>
        </w:rPr>
        <w:br/>
      </w:r>
    </w:p>
    <w:p w14:paraId="58FC011C" w14:textId="38645F2E" w:rsidR="00F23D6B" w:rsidRPr="00E91518" w:rsidRDefault="00F23D6B" w:rsidP="0043347C">
      <w:pPr>
        <w:pStyle w:val="pf0"/>
        <w:numPr>
          <w:ilvl w:val="2"/>
          <w:numId w:val="68"/>
        </w:numPr>
        <w:spacing w:line="276" w:lineRule="auto"/>
        <w:ind w:left="1440" w:hanging="720"/>
        <w:rPr>
          <w:rStyle w:val="cf01"/>
          <w:rFonts w:ascii="Aptos" w:hAnsi="Aptos" w:cstheme="minorHAnsi"/>
          <w:b/>
          <w:sz w:val="22"/>
          <w:szCs w:val="22"/>
        </w:rPr>
      </w:pPr>
      <w:bookmarkStart w:id="219" w:name="_Toc208856279"/>
      <w:r w:rsidRPr="00E91518">
        <w:rPr>
          <w:rStyle w:val="cf01"/>
          <w:rFonts w:ascii="Aptos" w:hAnsi="Aptos" w:cstheme="minorHAnsi"/>
          <w:sz w:val="22"/>
          <w:szCs w:val="22"/>
        </w:rPr>
        <w:t>A single overall score for each written response and schedule will be determined by the moderator, using either the single common consensus score or, where no single common consensus score exists, the mean average of the individual scorers’ scores for the response or schedule (total of all individual evaluator scores when summed / number of scorers).</w:t>
      </w:r>
      <w:bookmarkEnd w:id="219"/>
      <w:r w:rsidR="008C7E8D">
        <w:rPr>
          <w:rStyle w:val="cf01"/>
          <w:rFonts w:ascii="Aptos" w:hAnsi="Aptos" w:cstheme="minorHAnsi"/>
          <w:sz w:val="22"/>
          <w:szCs w:val="22"/>
        </w:rPr>
        <w:br/>
      </w:r>
    </w:p>
    <w:p w14:paraId="7262A32C" w14:textId="5A830EA6" w:rsidR="000C2BBF" w:rsidRPr="00E91518" w:rsidRDefault="00DB1452" w:rsidP="0043347C">
      <w:pPr>
        <w:pStyle w:val="pf0"/>
        <w:numPr>
          <w:ilvl w:val="2"/>
          <w:numId w:val="68"/>
        </w:numPr>
        <w:ind w:left="1440" w:hanging="720"/>
        <w:rPr>
          <w:rStyle w:val="cf01"/>
          <w:rFonts w:ascii="Aptos" w:hAnsi="Aptos" w:cstheme="minorHAnsi"/>
          <w:b/>
          <w:sz w:val="22"/>
          <w:szCs w:val="22"/>
        </w:rPr>
      </w:pPr>
      <w:bookmarkStart w:id="220" w:name="_Toc208856280"/>
      <w:r w:rsidRPr="00E91518">
        <w:rPr>
          <w:rStyle w:val="cf01"/>
          <w:rFonts w:ascii="Aptos" w:hAnsi="Aptos" w:cstheme="minorHAnsi"/>
          <w:sz w:val="22"/>
          <w:szCs w:val="22"/>
        </w:rPr>
        <w:t xml:space="preserve">The single overall score for each response and schedule will be weighted and the </w:t>
      </w:r>
      <w:r w:rsidR="00B6446A">
        <w:rPr>
          <w:rStyle w:val="cf01"/>
          <w:rFonts w:ascii="Aptos" w:hAnsi="Aptos" w:cstheme="minorHAnsi"/>
          <w:sz w:val="22"/>
          <w:szCs w:val="22"/>
        </w:rPr>
        <w:t>w</w:t>
      </w:r>
      <w:r w:rsidRPr="00E91518">
        <w:rPr>
          <w:rStyle w:val="cf01"/>
          <w:rFonts w:ascii="Aptos" w:hAnsi="Aptos" w:cstheme="minorHAnsi"/>
          <w:sz w:val="22"/>
          <w:szCs w:val="22"/>
        </w:rPr>
        <w:t>eighted scores used to reach the final submission scores.</w:t>
      </w:r>
      <w:bookmarkEnd w:id="220"/>
    </w:p>
    <w:p w14:paraId="55BE35D3" w14:textId="77777777" w:rsidR="00DA147D" w:rsidRPr="00A56362" w:rsidRDefault="00DA147D" w:rsidP="0043347C">
      <w:pPr>
        <w:pStyle w:val="Untitledsubclause1"/>
        <w:numPr>
          <w:ilvl w:val="1"/>
          <w:numId w:val="68"/>
        </w:numPr>
        <w:rPr>
          <w:rFonts w:ascii="Aptos" w:hAnsi="Aptos"/>
          <w:b/>
        </w:rPr>
      </w:pPr>
      <w:bookmarkStart w:id="221" w:name="_Toc208856281"/>
      <w:bookmarkStart w:id="222" w:name="_Toc208864919"/>
      <w:r w:rsidRPr="00A56362">
        <w:rPr>
          <w:rFonts w:ascii="Aptos" w:hAnsi="Aptos"/>
          <w:b/>
        </w:rPr>
        <w:t>Evaluation process</w:t>
      </w:r>
      <w:bookmarkEnd w:id="209"/>
      <w:bookmarkEnd w:id="221"/>
      <w:bookmarkEnd w:id="222"/>
    </w:p>
    <w:p w14:paraId="7D23CCAB" w14:textId="77777777" w:rsidR="00DA147D" w:rsidRPr="00847A17" w:rsidRDefault="00DA147D" w:rsidP="0043347C">
      <w:pPr>
        <w:pStyle w:val="pf0"/>
        <w:numPr>
          <w:ilvl w:val="2"/>
          <w:numId w:val="68"/>
        </w:numPr>
        <w:ind w:left="1440" w:hanging="720"/>
        <w:rPr>
          <w:rStyle w:val="cf01"/>
          <w:rFonts w:ascii="Aptos" w:hAnsi="Aptos" w:cstheme="minorHAnsi"/>
          <w:b/>
          <w:sz w:val="22"/>
          <w:szCs w:val="22"/>
        </w:rPr>
      </w:pPr>
      <w:r w:rsidRPr="00847A17">
        <w:rPr>
          <w:rStyle w:val="cf01"/>
          <w:rFonts w:ascii="Aptos" w:hAnsi="Aptos" w:cstheme="minorHAnsi"/>
          <w:b/>
          <w:sz w:val="22"/>
          <w:szCs w:val="22"/>
        </w:rPr>
        <w:t>Technical or quality evaluation</w:t>
      </w:r>
    </w:p>
    <w:p w14:paraId="616FC756" w14:textId="77777777" w:rsidR="00DA147D" w:rsidRPr="00A56362" w:rsidRDefault="00DA147D" w:rsidP="00CA1A98">
      <w:pPr>
        <w:pStyle w:val="Parasubclause1"/>
        <w:rPr>
          <w:rFonts w:ascii="Aptos" w:hAnsi="Aptos"/>
        </w:rPr>
      </w:pPr>
      <w:r w:rsidRPr="00A56362">
        <w:rPr>
          <w:rFonts w:ascii="Aptos" w:hAnsi="Aptos"/>
        </w:rPr>
        <w:t>The technical evaluation will be scored in accordance with the table below.</w:t>
      </w:r>
    </w:p>
    <w:p w14:paraId="0E5D51E8" w14:textId="77777777" w:rsidR="00F23D6B" w:rsidRPr="007617B0" w:rsidRDefault="00F23D6B" w:rsidP="00F23D6B">
      <w:pPr>
        <w:pStyle w:val="Parasubclause1"/>
        <w:ind w:left="0"/>
        <w:rPr>
          <w:rFonts w:ascii="Aptos" w:hAnsi="Aptos" w:cstheme="minorHAnsi"/>
          <w:bCs/>
        </w:rPr>
      </w:pPr>
      <w:bookmarkStart w:id="223" w:name="_Toc192620510"/>
      <w:r w:rsidRPr="007617B0">
        <w:rPr>
          <w:rFonts w:ascii="Aptos" w:hAnsi="Aptos" w:cstheme="minorHAnsi"/>
          <w:b/>
        </w:rPr>
        <w:lastRenderedPageBreak/>
        <w:t>Scoring matrix for the technical and quality criteria</w: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5"/>
        <w:gridCol w:w="7935"/>
      </w:tblGrid>
      <w:tr w:rsidR="00F23D6B" w:rsidRPr="007617B0" w14:paraId="239F2714" w14:textId="77777777">
        <w:trPr>
          <w:trHeight w:val="585"/>
        </w:trPr>
        <w:tc>
          <w:tcPr>
            <w:tcW w:w="9090" w:type="dxa"/>
            <w:gridSpan w:val="2"/>
            <w:shd w:val="clear" w:color="auto" w:fill="DAEEF3"/>
            <w:tcMar>
              <w:top w:w="0" w:type="dxa"/>
              <w:left w:w="108" w:type="dxa"/>
              <w:bottom w:w="0" w:type="dxa"/>
              <w:right w:w="108" w:type="dxa"/>
            </w:tcMar>
            <w:vAlign w:val="center"/>
            <w:hideMark/>
          </w:tcPr>
          <w:p w14:paraId="2D1BEEA6" w14:textId="77777777" w:rsidR="00F23D6B" w:rsidRPr="007617B0" w:rsidRDefault="00F23D6B">
            <w:pPr>
              <w:pStyle w:val="xmsonormal"/>
              <w:rPr>
                <w:rFonts w:ascii="Aptos" w:hAnsi="Aptos" w:cstheme="minorHAnsi"/>
              </w:rPr>
            </w:pPr>
            <w:r w:rsidRPr="007617B0">
              <w:rPr>
                <w:rFonts w:ascii="Aptos" w:hAnsi="Aptos" w:cstheme="minorHAnsi"/>
                <w:b/>
                <w:bCs/>
              </w:rPr>
              <w:t>Quality Scoring Scheme</w:t>
            </w:r>
          </w:p>
        </w:tc>
      </w:tr>
      <w:tr w:rsidR="00F23D6B" w:rsidRPr="007617B0" w14:paraId="41532BCA" w14:textId="77777777">
        <w:trPr>
          <w:trHeight w:val="270"/>
        </w:trPr>
        <w:tc>
          <w:tcPr>
            <w:tcW w:w="1155" w:type="dxa"/>
            <w:shd w:val="clear" w:color="auto" w:fill="C6D9F1"/>
            <w:tcMar>
              <w:top w:w="0" w:type="dxa"/>
              <w:left w:w="108" w:type="dxa"/>
              <w:bottom w:w="0" w:type="dxa"/>
              <w:right w:w="108" w:type="dxa"/>
            </w:tcMar>
            <w:vAlign w:val="center"/>
            <w:hideMark/>
          </w:tcPr>
          <w:p w14:paraId="2BAAFCC3" w14:textId="77777777" w:rsidR="00F23D6B" w:rsidRPr="007617B0" w:rsidRDefault="00F23D6B">
            <w:pPr>
              <w:pStyle w:val="xmsonormal"/>
              <w:jc w:val="center"/>
              <w:rPr>
                <w:rFonts w:ascii="Aptos" w:hAnsi="Aptos" w:cstheme="minorHAnsi"/>
              </w:rPr>
            </w:pPr>
            <w:r w:rsidRPr="007617B0">
              <w:rPr>
                <w:rFonts w:ascii="Aptos" w:hAnsi="Aptos" w:cstheme="minorHAnsi"/>
                <w:b/>
                <w:bCs/>
                <w:color w:val="000000"/>
              </w:rPr>
              <w:t>Score</w:t>
            </w:r>
          </w:p>
        </w:tc>
        <w:tc>
          <w:tcPr>
            <w:tcW w:w="7935" w:type="dxa"/>
            <w:shd w:val="clear" w:color="auto" w:fill="C6D9F1"/>
            <w:tcMar>
              <w:top w:w="0" w:type="dxa"/>
              <w:left w:w="108" w:type="dxa"/>
              <w:bottom w:w="0" w:type="dxa"/>
              <w:right w:w="108" w:type="dxa"/>
            </w:tcMar>
            <w:vAlign w:val="center"/>
            <w:hideMark/>
          </w:tcPr>
          <w:p w14:paraId="59AF9E27" w14:textId="77777777" w:rsidR="00F23D6B" w:rsidRPr="007617B0" w:rsidRDefault="00F23D6B">
            <w:pPr>
              <w:pStyle w:val="xmsonormal"/>
              <w:jc w:val="both"/>
              <w:rPr>
                <w:rFonts w:ascii="Aptos" w:hAnsi="Aptos" w:cstheme="minorHAnsi"/>
              </w:rPr>
            </w:pPr>
            <w:r w:rsidRPr="007617B0">
              <w:rPr>
                <w:rFonts w:ascii="Aptos" w:hAnsi="Aptos" w:cstheme="minorHAnsi"/>
                <w:b/>
                <w:bCs/>
                <w:color w:val="000000"/>
              </w:rPr>
              <w:t>Explanation</w:t>
            </w:r>
            <w:r w:rsidRPr="007617B0">
              <w:rPr>
                <w:rFonts w:ascii="Aptos" w:hAnsi="Aptos" w:cstheme="minorHAnsi"/>
                <w:color w:val="000000"/>
              </w:rPr>
              <w:t xml:space="preserve"> </w:t>
            </w:r>
          </w:p>
        </w:tc>
      </w:tr>
      <w:tr w:rsidR="00F23D6B" w:rsidRPr="007617B0" w14:paraId="4FE6F92B" w14:textId="77777777">
        <w:trPr>
          <w:trHeight w:val="1020"/>
        </w:trPr>
        <w:tc>
          <w:tcPr>
            <w:tcW w:w="1155" w:type="dxa"/>
            <w:tcMar>
              <w:top w:w="0" w:type="dxa"/>
              <w:left w:w="108" w:type="dxa"/>
              <w:bottom w:w="0" w:type="dxa"/>
              <w:right w:w="108" w:type="dxa"/>
            </w:tcMar>
            <w:vAlign w:val="center"/>
            <w:hideMark/>
          </w:tcPr>
          <w:p w14:paraId="2EC3B442" w14:textId="77777777" w:rsidR="00F23D6B" w:rsidRPr="007617B0" w:rsidRDefault="00F23D6B">
            <w:pPr>
              <w:pStyle w:val="xmsonormal"/>
              <w:jc w:val="center"/>
              <w:rPr>
                <w:rFonts w:ascii="Aptos" w:hAnsi="Aptos" w:cstheme="minorHAnsi"/>
              </w:rPr>
            </w:pPr>
            <w:r w:rsidRPr="007617B0">
              <w:rPr>
                <w:rFonts w:ascii="Aptos" w:hAnsi="Aptos" w:cstheme="minorHAnsi"/>
              </w:rPr>
              <w:t>0</w:t>
            </w:r>
          </w:p>
        </w:tc>
        <w:tc>
          <w:tcPr>
            <w:tcW w:w="7935" w:type="dxa"/>
            <w:tcMar>
              <w:top w:w="0" w:type="dxa"/>
              <w:left w:w="108" w:type="dxa"/>
              <w:bottom w:w="0" w:type="dxa"/>
              <w:right w:w="108" w:type="dxa"/>
            </w:tcMar>
            <w:vAlign w:val="center"/>
            <w:hideMark/>
          </w:tcPr>
          <w:p w14:paraId="24E71395" w14:textId="77777777" w:rsidR="00F23D6B" w:rsidRPr="007617B0" w:rsidRDefault="00F23D6B">
            <w:pPr>
              <w:pStyle w:val="xmsonormal"/>
              <w:jc w:val="both"/>
              <w:rPr>
                <w:rFonts w:ascii="Aptos" w:hAnsi="Aptos" w:cstheme="minorHAnsi"/>
                <w:b/>
                <w:bCs/>
              </w:rPr>
            </w:pPr>
            <w:r w:rsidRPr="007617B0">
              <w:rPr>
                <w:rFonts w:ascii="Aptos" w:hAnsi="Aptos" w:cstheme="minorHAnsi"/>
                <w:b/>
                <w:bCs/>
              </w:rPr>
              <w:t xml:space="preserve">Non-compliant. </w:t>
            </w:r>
            <w:r w:rsidRPr="007617B0">
              <w:rPr>
                <w:rFonts w:ascii="Aptos" w:hAnsi="Aptos" w:cstheme="minorHAnsi"/>
              </w:rPr>
              <w:t xml:space="preserve">The Tenderers response to requirements and criteria is totally inadequate or absent. The Tenderer has failed to demonstrate an understanding of the requirements and/or provide a meaningful explanation as to how the requirements will be met. </w:t>
            </w:r>
            <w:r w:rsidRPr="007617B0">
              <w:rPr>
                <w:rFonts w:ascii="Aptos" w:hAnsi="Aptos" w:cstheme="minorHAnsi"/>
                <w:b/>
                <w:bCs/>
              </w:rPr>
              <w:t>The Tenderer is excluded from the process.</w:t>
            </w:r>
          </w:p>
        </w:tc>
      </w:tr>
      <w:tr w:rsidR="00F23D6B" w:rsidRPr="007617B0" w14:paraId="0EE2295F" w14:textId="77777777">
        <w:trPr>
          <w:trHeight w:val="765"/>
        </w:trPr>
        <w:tc>
          <w:tcPr>
            <w:tcW w:w="1155" w:type="dxa"/>
            <w:tcMar>
              <w:top w:w="0" w:type="dxa"/>
              <w:left w:w="108" w:type="dxa"/>
              <w:bottom w:w="0" w:type="dxa"/>
              <w:right w:w="108" w:type="dxa"/>
            </w:tcMar>
            <w:vAlign w:val="center"/>
            <w:hideMark/>
          </w:tcPr>
          <w:p w14:paraId="6AF1CFBE" w14:textId="77777777" w:rsidR="00F23D6B" w:rsidRPr="007617B0" w:rsidRDefault="00F23D6B">
            <w:pPr>
              <w:pStyle w:val="xmsonormal"/>
              <w:jc w:val="center"/>
              <w:rPr>
                <w:rFonts w:ascii="Aptos" w:hAnsi="Aptos" w:cstheme="minorHAnsi"/>
              </w:rPr>
            </w:pPr>
            <w:r w:rsidRPr="007617B0">
              <w:rPr>
                <w:rFonts w:ascii="Aptos" w:hAnsi="Aptos" w:cstheme="minorHAnsi"/>
              </w:rPr>
              <w:t>1</w:t>
            </w:r>
          </w:p>
        </w:tc>
        <w:tc>
          <w:tcPr>
            <w:tcW w:w="7935" w:type="dxa"/>
            <w:tcMar>
              <w:top w:w="0" w:type="dxa"/>
              <w:left w:w="108" w:type="dxa"/>
              <w:bottom w:w="0" w:type="dxa"/>
              <w:right w:w="108" w:type="dxa"/>
            </w:tcMar>
            <w:vAlign w:val="center"/>
            <w:hideMark/>
          </w:tcPr>
          <w:p w14:paraId="59BBA628" w14:textId="77777777" w:rsidR="00F23D6B" w:rsidRPr="007617B0" w:rsidRDefault="00F23D6B">
            <w:pPr>
              <w:pStyle w:val="xmsonormal"/>
              <w:jc w:val="both"/>
              <w:rPr>
                <w:rFonts w:ascii="Aptos" w:hAnsi="Aptos" w:cstheme="minorHAnsi"/>
              </w:rPr>
            </w:pPr>
            <w:r w:rsidRPr="007617B0">
              <w:rPr>
                <w:rFonts w:ascii="Aptos" w:hAnsi="Aptos" w:cstheme="minorHAnsi"/>
                <w:b/>
                <w:bCs/>
              </w:rPr>
              <w:t xml:space="preserve">Serious Reservations. </w:t>
            </w:r>
            <w:r w:rsidRPr="007617B0">
              <w:rPr>
                <w:rFonts w:ascii="Aptos" w:hAnsi="Aptos" w:cstheme="minorHAnsi"/>
              </w:rPr>
              <w:t>The Tenderers response has very limited detail of the methodology to be applied. There is a high risk that the proposed approach will not be successful.</w:t>
            </w:r>
          </w:p>
        </w:tc>
      </w:tr>
      <w:tr w:rsidR="00F23D6B" w:rsidRPr="007617B0" w14:paraId="66CBBB90" w14:textId="77777777">
        <w:trPr>
          <w:trHeight w:val="765"/>
        </w:trPr>
        <w:tc>
          <w:tcPr>
            <w:tcW w:w="1155" w:type="dxa"/>
            <w:tcMar>
              <w:top w:w="0" w:type="dxa"/>
              <w:left w:w="108" w:type="dxa"/>
              <w:bottom w:w="0" w:type="dxa"/>
              <w:right w:w="108" w:type="dxa"/>
            </w:tcMar>
            <w:vAlign w:val="center"/>
            <w:hideMark/>
          </w:tcPr>
          <w:p w14:paraId="1559D703" w14:textId="77777777" w:rsidR="00F23D6B" w:rsidRPr="007617B0" w:rsidRDefault="00F23D6B">
            <w:pPr>
              <w:pStyle w:val="xmsonormal"/>
              <w:jc w:val="center"/>
              <w:rPr>
                <w:rFonts w:ascii="Aptos" w:hAnsi="Aptos" w:cstheme="minorHAnsi"/>
              </w:rPr>
            </w:pPr>
            <w:r w:rsidRPr="007617B0">
              <w:rPr>
                <w:rFonts w:ascii="Aptos" w:hAnsi="Aptos" w:cstheme="minorHAnsi"/>
              </w:rPr>
              <w:t>3</w:t>
            </w:r>
          </w:p>
        </w:tc>
        <w:tc>
          <w:tcPr>
            <w:tcW w:w="7935" w:type="dxa"/>
            <w:tcMar>
              <w:top w:w="0" w:type="dxa"/>
              <w:left w:w="108" w:type="dxa"/>
              <w:bottom w:w="0" w:type="dxa"/>
              <w:right w:w="108" w:type="dxa"/>
            </w:tcMar>
            <w:vAlign w:val="center"/>
            <w:hideMark/>
          </w:tcPr>
          <w:p w14:paraId="329A5C17" w14:textId="77777777" w:rsidR="00F23D6B" w:rsidRPr="007617B0" w:rsidRDefault="00F23D6B">
            <w:pPr>
              <w:pStyle w:val="xmsonormal"/>
              <w:jc w:val="both"/>
              <w:rPr>
                <w:rFonts w:ascii="Aptos" w:hAnsi="Aptos" w:cstheme="minorHAnsi"/>
              </w:rPr>
            </w:pPr>
            <w:r w:rsidRPr="007617B0">
              <w:rPr>
                <w:rFonts w:ascii="Aptos" w:hAnsi="Aptos" w:cstheme="minorHAnsi"/>
                <w:b/>
                <w:bCs/>
              </w:rPr>
              <w:t>Major deficiencies</w:t>
            </w:r>
            <w:r w:rsidRPr="007617B0">
              <w:rPr>
                <w:rFonts w:ascii="Aptos" w:hAnsi="Aptos" w:cstheme="minorHAnsi"/>
              </w:rPr>
              <w:t xml:space="preserve">. The Tenderers response has some major shortcomings and/or clear deficiencies, which on balance outweigh positive aspects of the response to the criteria and requirements. </w:t>
            </w:r>
          </w:p>
        </w:tc>
      </w:tr>
      <w:tr w:rsidR="00F23D6B" w:rsidRPr="007617B0" w14:paraId="3DAEFDB4" w14:textId="77777777">
        <w:trPr>
          <w:trHeight w:val="765"/>
        </w:trPr>
        <w:tc>
          <w:tcPr>
            <w:tcW w:w="1155" w:type="dxa"/>
            <w:tcMar>
              <w:top w:w="0" w:type="dxa"/>
              <w:left w:w="108" w:type="dxa"/>
              <w:bottom w:w="0" w:type="dxa"/>
              <w:right w:w="108" w:type="dxa"/>
            </w:tcMar>
            <w:vAlign w:val="center"/>
            <w:hideMark/>
          </w:tcPr>
          <w:p w14:paraId="30E78204" w14:textId="77777777" w:rsidR="00F23D6B" w:rsidRPr="007617B0" w:rsidRDefault="00F23D6B">
            <w:pPr>
              <w:pStyle w:val="xmsonormal"/>
              <w:jc w:val="center"/>
              <w:rPr>
                <w:rFonts w:ascii="Aptos" w:hAnsi="Aptos" w:cstheme="minorHAnsi"/>
              </w:rPr>
            </w:pPr>
            <w:r w:rsidRPr="007617B0">
              <w:rPr>
                <w:rFonts w:ascii="Aptos" w:hAnsi="Aptos" w:cstheme="minorHAnsi"/>
              </w:rPr>
              <w:t>5</w:t>
            </w:r>
          </w:p>
        </w:tc>
        <w:tc>
          <w:tcPr>
            <w:tcW w:w="7935" w:type="dxa"/>
            <w:tcMar>
              <w:top w:w="0" w:type="dxa"/>
              <w:left w:w="108" w:type="dxa"/>
              <w:bottom w:w="0" w:type="dxa"/>
              <w:right w:w="108" w:type="dxa"/>
            </w:tcMar>
            <w:vAlign w:val="center"/>
            <w:hideMark/>
          </w:tcPr>
          <w:p w14:paraId="3C73B336" w14:textId="77777777" w:rsidR="00F23D6B" w:rsidRPr="007617B0" w:rsidRDefault="00F23D6B">
            <w:pPr>
              <w:pStyle w:val="xmsonormal"/>
              <w:jc w:val="both"/>
              <w:rPr>
                <w:rFonts w:ascii="Aptos" w:hAnsi="Aptos" w:cstheme="minorHAnsi"/>
              </w:rPr>
            </w:pPr>
            <w:r w:rsidRPr="007617B0">
              <w:rPr>
                <w:rFonts w:ascii="Aptos" w:hAnsi="Aptos" w:cstheme="minorHAnsi"/>
                <w:b/>
                <w:bCs/>
              </w:rPr>
              <w:t xml:space="preserve">Minor deficiencies. </w:t>
            </w:r>
            <w:r w:rsidRPr="007617B0">
              <w:rPr>
                <w:rFonts w:ascii="Aptos" w:hAnsi="Aptos" w:cstheme="minorHAnsi"/>
              </w:rPr>
              <w:t>The Tenderers</w:t>
            </w:r>
            <w:r w:rsidRPr="007617B0">
              <w:rPr>
                <w:rFonts w:ascii="Aptos" w:hAnsi="Aptos" w:cstheme="minorHAnsi"/>
                <w:b/>
                <w:bCs/>
              </w:rPr>
              <w:t xml:space="preserve"> </w:t>
            </w:r>
            <w:r w:rsidRPr="007617B0">
              <w:rPr>
                <w:rFonts w:ascii="Aptos" w:hAnsi="Aptos" w:cstheme="minorHAnsi"/>
              </w:rPr>
              <w:t xml:space="preserve">response has minor shortcomings and/or deficiencies, but on balance these are outweighed by the positive aspects that meet most of the criteria and requirements. </w:t>
            </w:r>
          </w:p>
        </w:tc>
      </w:tr>
      <w:tr w:rsidR="00F23D6B" w:rsidRPr="007617B0" w14:paraId="68006C27" w14:textId="77777777">
        <w:trPr>
          <w:trHeight w:val="765"/>
        </w:trPr>
        <w:tc>
          <w:tcPr>
            <w:tcW w:w="1155" w:type="dxa"/>
            <w:tcMar>
              <w:top w:w="0" w:type="dxa"/>
              <w:left w:w="108" w:type="dxa"/>
              <w:bottom w:w="0" w:type="dxa"/>
              <w:right w:w="108" w:type="dxa"/>
            </w:tcMar>
            <w:vAlign w:val="center"/>
            <w:hideMark/>
          </w:tcPr>
          <w:p w14:paraId="7D47A91F" w14:textId="77777777" w:rsidR="00F23D6B" w:rsidRPr="007617B0" w:rsidRDefault="00F23D6B">
            <w:pPr>
              <w:pStyle w:val="xmsonormal"/>
              <w:jc w:val="center"/>
              <w:rPr>
                <w:rFonts w:ascii="Aptos" w:hAnsi="Aptos" w:cstheme="minorHAnsi"/>
              </w:rPr>
            </w:pPr>
            <w:r w:rsidRPr="007617B0">
              <w:rPr>
                <w:rFonts w:ascii="Aptos" w:hAnsi="Aptos" w:cstheme="minorHAnsi"/>
              </w:rPr>
              <w:t>6</w:t>
            </w:r>
          </w:p>
        </w:tc>
        <w:tc>
          <w:tcPr>
            <w:tcW w:w="7935" w:type="dxa"/>
            <w:tcMar>
              <w:top w:w="0" w:type="dxa"/>
              <w:left w:w="108" w:type="dxa"/>
              <w:bottom w:w="0" w:type="dxa"/>
              <w:right w:w="108" w:type="dxa"/>
            </w:tcMar>
            <w:vAlign w:val="center"/>
            <w:hideMark/>
          </w:tcPr>
          <w:p w14:paraId="412FF615" w14:textId="75167125" w:rsidR="00F23D6B" w:rsidRPr="007617B0" w:rsidRDefault="00F23D6B">
            <w:pPr>
              <w:pStyle w:val="xmsonormal"/>
              <w:jc w:val="both"/>
              <w:rPr>
                <w:rFonts w:ascii="Aptos" w:hAnsi="Aptos" w:cstheme="minorHAnsi"/>
              </w:rPr>
            </w:pPr>
            <w:r w:rsidRPr="007617B0">
              <w:rPr>
                <w:rFonts w:ascii="Aptos" w:hAnsi="Aptos" w:cstheme="minorHAnsi"/>
                <w:b/>
                <w:bCs/>
              </w:rPr>
              <w:t xml:space="preserve">Meets </w:t>
            </w:r>
            <w:r w:rsidR="0037651B">
              <w:rPr>
                <w:rFonts w:ascii="Aptos" w:hAnsi="Aptos" w:cstheme="minorHAnsi"/>
                <w:b/>
                <w:bCs/>
              </w:rPr>
              <w:t xml:space="preserve">Basic </w:t>
            </w:r>
            <w:r w:rsidRPr="007617B0">
              <w:rPr>
                <w:rFonts w:ascii="Aptos" w:hAnsi="Aptos" w:cstheme="minorHAnsi"/>
                <w:b/>
                <w:bCs/>
              </w:rPr>
              <w:t xml:space="preserve">Requirements. </w:t>
            </w:r>
            <w:r w:rsidRPr="007617B0">
              <w:rPr>
                <w:rFonts w:ascii="Aptos" w:hAnsi="Aptos" w:cstheme="minorHAnsi"/>
              </w:rPr>
              <w:t xml:space="preserve">The Tenderer’s response is compliant. It generally demonstrates a satisfactory understanding of the criteria and requirements but lacks sufficient detail to merit a higher Score. </w:t>
            </w:r>
          </w:p>
        </w:tc>
      </w:tr>
      <w:tr w:rsidR="00F23D6B" w:rsidRPr="007617B0" w14:paraId="578A36C3" w14:textId="77777777">
        <w:trPr>
          <w:trHeight w:val="765"/>
        </w:trPr>
        <w:tc>
          <w:tcPr>
            <w:tcW w:w="1155" w:type="dxa"/>
            <w:tcMar>
              <w:top w:w="0" w:type="dxa"/>
              <w:left w:w="108" w:type="dxa"/>
              <w:bottom w:w="0" w:type="dxa"/>
              <w:right w:w="108" w:type="dxa"/>
            </w:tcMar>
            <w:vAlign w:val="center"/>
            <w:hideMark/>
          </w:tcPr>
          <w:p w14:paraId="7341FCEA" w14:textId="77777777" w:rsidR="00F23D6B" w:rsidRPr="007617B0" w:rsidRDefault="00F23D6B">
            <w:pPr>
              <w:pStyle w:val="xmsonormal"/>
              <w:jc w:val="center"/>
              <w:rPr>
                <w:rFonts w:ascii="Aptos" w:hAnsi="Aptos" w:cstheme="minorHAnsi"/>
              </w:rPr>
            </w:pPr>
            <w:r w:rsidRPr="007617B0">
              <w:rPr>
                <w:rFonts w:ascii="Aptos" w:hAnsi="Aptos" w:cstheme="minorHAnsi"/>
              </w:rPr>
              <w:t>7</w:t>
            </w:r>
          </w:p>
        </w:tc>
        <w:tc>
          <w:tcPr>
            <w:tcW w:w="7935" w:type="dxa"/>
            <w:tcMar>
              <w:top w:w="0" w:type="dxa"/>
              <w:left w:w="108" w:type="dxa"/>
              <w:bottom w:w="0" w:type="dxa"/>
              <w:right w:w="108" w:type="dxa"/>
            </w:tcMar>
            <w:vAlign w:val="center"/>
            <w:hideMark/>
          </w:tcPr>
          <w:p w14:paraId="45909AAA" w14:textId="77777777" w:rsidR="00F23D6B" w:rsidRPr="007617B0" w:rsidRDefault="00F23D6B">
            <w:pPr>
              <w:pStyle w:val="xmsonormal"/>
              <w:jc w:val="both"/>
              <w:rPr>
                <w:rFonts w:ascii="Aptos" w:hAnsi="Aptos" w:cstheme="minorHAnsi"/>
              </w:rPr>
            </w:pPr>
            <w:r w:rsidRPr="007617B0">
              <w:rPr>
                <w:rFonts w:ascii="Aptos" w:hAnsi="Aptos" w:cstheme="minorHAnsi"/>
                <w:b/>
                <w:bCs/>
              </w:rPr>
              <w:t xml:space="preserve">Exceeds Basic Requirements. </w:t>
            </w:r>
            <w:r w:rsidRPr="007617B0">
              <w:rPr>
                <w:rFonts w:ascii="Aptos" w:hAnsi="Aptos" w:cstheme="minorHAnsi"/>
              </w:rPr>
              <w:t>The Tenderer’s response is compliant. It demonstrates a satisfactory understanding of the criteria and requirements and provides explanations as to how the requirements will be met.</w:t>
            </w:r>
          </w:p>
        </w:tc>
      </w:tr>
      <w:tr w:rsidR="00F23D6B" w:rsidRPr="007617B0" w14:paraId="0E551785" w14:textId="77777777">
        <w:trPr>
          <w:trHeight w:val="765"/>
        </w:trPr>
        <w:tc>
          <w:tcPr>
            <w:tcW w:w="1155" w:type="dxa"/>
            <w:tcMar>
              <w:top w:w="0" w:type="dxa"/>
              <w:left w:w="108" w:type="dxa"/>
              <w:bottom w:w="0" w:type="dxa"/>
              <w:right w:w="108" w:type="dxa"/>
            </w:tcMar>
            <w:vAlign w:val="center"/>
            <w:hideMark/>
          </w:tcPr>
          <w:p w14:paraId="6C63A9DC" w14:textId="77777777" w:rsidR="00F23D6B" w:rsidRPr="007617B0" w:rsidRDefault="00F23D6B">
            <w:pPr>
              <w:pStyle w:val="xmsonormal"/>
              <w:jc w:val="center"/>
              <w:rPr>
                <w:rFonts w:ascii="Aptos" w:hAnsi="Aptos" w:cstheme="minorHAnsi"/>
              </w:rPr>
            </w:pPr>
            <w:r w:rsidRPr="007617B0">
              <w:rPr>
                <w:rFonts w:ascii="Aptos" w:hAnsi="Aptos" w:cstheme="minorHAnsi"/>
              </w:rPr>
              <w:t>8</w:t>
            </w:r>
          </w:p>
        </w:tc>
        <w:tc>
          <w:tcPr>
            <w:tcW w:w="7935" w:type="dxa"/>
            <w:tcMar>
              <w:top w:w="0" w:type="dxa"/>
              <w:left w:w="108" w:type="dxa"/>
              <w:bottom w:w="0" w:type="dxa"/>
              <w:right w:w="108" w:type="dxa"/>
            </w:tcMar>
            <w:vAlign w:val="center"/>
            <w:hideMark/>
          </w:tcPr>
          <w:p w14:paraId="467840A7" w14:textId="77777777" w:rsidR="00F23D6B" w:rsidRPr="007617B0" w:rsidRDefault="00F23D6B">
            <w:pPr>
              <w:pStyle w:val="xmsonormal"/>
              <w:jc w:val="both"/>
              <w:rPr>
                <w:rFonts w:ascii="Aptos" w:hAnsi="Aptos" w:cstheme="minorHAnsi"/>
              </w:rPr>
            </w:pPr>
            <w:r w:rsidRPr="007617B0">
              <w:rPr>
                <w:rFonts w:ascii="Aptos" w:hAnsi="Aptos" w:cstheme="minorHAnsi"/>
                <w:b/>
                <w:bCs/>
              </w:rPr>
              <w:t xml:space="preserve">Good. </w:t>
            </w:r>
            <w:r w:rsidRPr="007617B0">
              <w:rPr>
                <w:rFonts w:ascii="Aptos" w:hAnsi="Aptos" w:cstheme="minorHAnsi"/>
              </w:rPr>
              <w:t xml:space="preserve">The Tenderer’s response is fully compliant, demonstrates a good understanding of the criteria and requirements, and provides a detailed explanation of how the requirements will be met.  </w:t>
            </w:r>
          </w:p>
        </w:tc>
      </w:tr>
      <w:tr w:rsidR="00F23D6B" w:rsidRPr="007617B0" w14:paraId="769CD5E1" w14:textId="77777777">
        <w:trPr>
          <w:trHeight w:val="1076"/>
        </w:trPr>
        <w:tc>
          <w:tcPr>
            <w:tcW w:w="1155" w:type="dxa"/>
            <w:tcMar>
              <w:top w:w="0" w:type="dxa"/>
              <w:left w:w="108" w:type="dxa"/>
              <w:bottom w:w="0" w:type="dxa"/>
              <w:right w:w="108" w:type="dxa"/>
            </w:tcMar>
            <w:vAlign w:val="center"/>
            <w:hideMark/>
          </w:tcPr>
          <w:p w14:paraId="7173FC6A" w14:textId="77777777" w:rsidR="00F23D6B" w:rsidRPr="007617B0" w:rsidRDefault="00F23D6B">
            <w:pPr>
              <w:pStyle w:val="xmsonormal"/>
              <w:jc w:val="center"/>
              <w:rPr>
                <w:rFonts w:ascii="Aptos" w:hAnsi="Aptos" w:cstheme="minorHAnsi"/>
              </w:rPr>
            </w:pPr>
            <w:r w:rsidRPr="007617B0">
              <w:rPr>
                <w:rFonts w:ascii="Aptos" w:hAnsi="Aptos" w:cstheme="minorHAnsi"/>
              </w:rPr>
              <w:t>9</w:t>
            </w:r>
          </w:p>
        </w:tc>
        <w:tc>
          <w:tcPr>
            <w:tcW w:w="7935" w:type="dxa"/>
            <w:tcMar>
              <w:top w:w="0" w:type="dxa"/>
              <w:left w:w="108" w:type="dxa"/>
              <w:bottom w:w="0" w:type="dxa"/>
              <w:right w:w="108" w:type="dxa"/>
            </w:tcMar>
            <w:vAlign w:val="center"/>
            <w:hideMark/>
          </w:tcPr>
          <w:p w14:paraId="09A76A11" w14:textId="77777777" w:rsidR="00F23D6B" w:rsidRPr="007617B0" w:rsidRDefault="00F23D6B">
            <w:pPr>
              <w:pStyle w:val="xmsonormal"/>
              <w:jc w:val="both"/>
              <w:rPr>
                <w:rFonts w:ascii="Aptos" w:hAnsi="Aptos" w:cstheme="minorHAnsi"/>
              </w:rPr>
            </w:pPr>
            <w:r w:rsidRPr="007617B0">
              <w:rPr>
                <w:rFonts w:ascii="Aptos" w:hAnsi="Aptos" w:cstheme="minorHAnsi"/>
                <w:b/>
                <w:bCs/>
              </w:rPr>
              <w:t xml:space="preserve">Very Good. </w:t>
            </w:r>
            <w:r w:rsidRPr="007617B0">
              <w:rPr>
                <w:rFonts w:ascii="Aptos" w:hAnsi="Aptos" w:cstheme="minorHAnsi"/>
              </w:rPr>
              <w:t xml:space="preserve">The Tenderer’s response is fully compliant, demonstrates a very good understanding of the criteria and requirements, and provides a very detailed explanation of how the requirements will be met.  </w:t>
            </w:r>
          </w:p>
        </w:tc>
      </w:tr>
      <w:tr w:rsidR="00F23D6B" w:rsidRPr="007617B0" w14:paraId="09A912B0" w14:textId="77777777">
        <w:trPr>
          <w:trHeight w:val="1260"/>
        </w:trPr>
        <w:tc>
          <w:tcPr>
            <w:tcW w:w="1155" w:type="dxa"/>
            <w:tcMar>
              <w:top w:w="0" w:type="dxa"/>
              <w:left w:w="108" w:type="dxa"/>
              <w:bottom w:w="0" w:type="dxa"/>
              <w:right w:w="108" w:type="dxa"/>
            </w:tcMar>
            <w:vAlign w:val="center"/>
            <w:hideMark/>
          </w:tcPr>
          <w:p w14:paraId="79C6126B" w14:textId="77777777" w:rsidR="00F23D6B" w:rsidRPr="007617B0" w:rsidRDefault="00F23D6B">
            <w:pPr>
              <w:pStyle w:val="xmsonormal"/>
              <w:jc w:val="center"/>
              <w:rPr>
                <w:rFonts w:ascii="Aptos" w:hAnsi="Aptos" w:cstheme="minorHAnsi"/>
              </w:rPr>
            </w:pPr>
            <w:r w:rsidRPr="007617B0">
              <w:rPr>
                <w:rFonts w:ascii="Aptos" w:hAnsi="Aptos" w:cstheme="minorHAnsi"/>
              </w:rPr>
              <w:t>10</w:t>
            </w:r>
          </w:p>
        </w:tc>
        <w:tc>
          <w:tcPr>
            <w:tcW w:w="7935" w:type="dxa"/>
            <w:tcMar>
              <w:top w:w="0" w:type="dxa"/>
              <w:left w:w="108" w:type="dxa"/>
              <w:bottom w:w="0" w:type="dxa"/>
              <w:right w:w="108" w:type="dxa"/>
            </w:tcMar>
            <w:vAlign w:val="center"/>
            <w:hideMark/>
          </w:tcPr>
          <w:p w14:paraId="3EBD9279" w14:textId="77777777" w:rsidR="00F23D6B" w:rsidRPr="007617B0" w:rsidRDefault="00F23D6B">
            <w:pPr>
              <w:pStyle w:val="xmsonormal"/>
              <w:jc w:val="both"/>
              <w:rPr>
                <w:rFonts w:ascii="Aptos" w:hAnsi="Aptos" w:cstheme="minorHAnsi"/>
              </w:rPr>
            </w:pPr>
            <w:r w:rsidRPr="007617B0">
              <w:rPr>
                <w:rFonts w:ascii="Aptos" w:hAnsi="Aptos" w:cstheme="minorHAnsi"/>
                <w:b/>
                <w:bCs/>
              </w:rPr>
              <w:t xml:space="preserve">Excellent. </w:t>
            </w:r>
            <w:r w:rsidRPr="007617B0">
              <w:rPr>
                <w:rFonts w:ascii="Aptos" w:hAnsi="Aptos" w:cstheme="minorHAnsi"/>
              </w:rPr>
              <w:t>The Tenderer’s response is fully compliant, demonstrates an excellent understanding of the criteria and requirements, and provides a detailed explanation of how the requirements will be met. In addition, the Trust can identify areas where the offering provides significant, relevant added value that enhances the requirements.</w:t>
            </w:r>
          </w:p>
        </w:tc>
      </w:tr>
    </w:tbl>
    <w:p w14:paraId="1B54DB3E" w14:textId="4E8DF6E1" w:rsidR="00F23D6B" w:rsidRPr="0043347C" w:rsidRDefault="00D70EE7" w:rsidP="0043347C">
      <w:pPr>
        <w:pStyle w:val="pf0"/>
        <w:numPr>
          <w:ilvl w:val="2"/>
          <w:numId w:val="68"/>
        </w:numPr>
        <w:ind w:left="1440" w:hanging="720"/>
        <w:rPr>
          <w:rStyle w:val="cf01"/>
          <w:rFonts w:ascii="Aptos" w:hAnsi="Aptos" w:cstheme="minorHAnsi"/>
          <w:b/>
          <w:sz w:val="22"/>
          <w:szCs w:val="22"/>
        </w:rPr>
      </w:pPr>
      <w:r>
        <w:rPr>
          <w:rStyle w:val="cf01"/>
          <w:rFonts w:ascii="Aptos" w:hAnsi="Aptos" w:cstheme="minorHAnsi"/>
          <w:b/>
          <w:sz w:val="22"/>
          <w:szCs w:val="22"/>
        </w:rPr>
        <w:t>Commercial</w:t>
      </w:r>
      <w:r w:rsidR="00F23D6B" w:rsidRPr="0043347C">
        <w:rPr>
          <w:rStyle w:val="cf01"/>
          <w:rFonts w:ascii="Aptos" w:hAnsi="Aptos" w:cstheme="minorHAnsi"/>
          <w:b/>
          <w:sz w:val="22"/>
          <w:szCs w:val="22"/>
        </w:rPr>
        <w:t xml:space="preserve"> evaluation</w:t>
      </w:r>
    </w:p>
    <w:p w14:paraId="38867397" w14:textId="1A4C6CFD" w:rsidR="003A00AC" w:rsidRPr="009451ED" w:rsidRDefault="003A00AC" w:rsidP="0043347C">
      <w:pPr>
        <w:pStyle w:val="TitleClause"/>
        <w:ind w:left="360"/>
        <w:rPr>
          <w:rFonts w:ascii="Aptos" w:hAnsi="Aptos" w:cstheme="minorHAnsi"/>
          <w:b w:val="0"/>
          <w:kern w:val="2"/>
        </w:rPr>
      </w:pPr>
      <w:bookmarkStart w:id="224" w:name="_Toc208856099"/>
      <w:bookmarkStart w:id="225" w:name="_Toc208856282"/>
      <w:bookmarkStart w:id="226" w:name="_Toc208856100"/>
      <w:bookmarkStart w:id="227" w:name="_Toc208856283"/>
      <w:bookmarkStart w:id="228" w:name="_Toc208856101"/>
      <w:bookmarkStart w:id="229" w:name="_Toc208856284"/>
      <w:bookmarkStart w:id="230" w:name="_Toc208856102"/>
      <w:bookmarkStart w:id="231" w:name="_Toc208856285"/>
      <w:bookmarkStart w:id="232" w:name="_Toc208856103"/>
      <w:bookmarkStart w:id="233" w:name="_Toc208856286"/>
      <w:bookmarkStart w:id="234" w:name="_Toc208856104"/>
      <w:bookmarkStart w:id="235" w:name="_Toc208856287"/>
      <w:bookmarkStart w:id="236" w:name="_Toc208856105"/>
      <w:bookmarkStart w:id="237" w:name="_Toc208856288"/>
      <w:bookmarkStart w:id="238" w:name="_Toc208856106"/>
      <w:bookmarkStart w:id="239" w:name="_Toc208856289"/>
      <w:bookmarkStart w:id="240" w:name="_Toc208856107"/>
      <w:bookmarkStart w:id="241" w:name="_Toc208856290"/>
      <w:bookmarkStart w:id="242" w:name="_Toc208856108"/>
      <w:bookmarkStart w:id="243" w:name="_Toc208856291"/>
      <w:bookmarkStart w:id="244" w:name="_Toc208856292"/>
      <w:bookmarkStart w:id="245" w:name="_Toc208864920"/>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9451ED">
        <w:rPr>
          <w:rFonts w:ascii="Aptos" w:hAnsi="Aptos" w:cstheme="minorHAnsi"/>
          <w:b w:val="0"/>
          <w:kern w:val="2"/>
        </w:rPr>
        <w:t xml:space="preserve">Question PE2 will be scored as indicated in the </w:t>
      </w:r>
      <w:r w:rsidR="00F72B1E" w:rsidRPr="009451ED">
        <w:rPr>
          <w:rFonts w:ascii="Aptos" w:hAnsi="Aptos" w:cstheme="minorHAnsi"/>
          <w:b w:val="0"/>
          <w:kern w:val="2"/>
        </w:rPr>
        <w:t>scoring matrix above.</w:t>
      </w:r>
      <w:bookmarkEnd w:id="244"/>
      <w:bookmarkEnd w:id="245"/>
    </w:p>
    <w:p w14:paraId="66B00117" w14:textId="77777777" w:rsidR="00CB5E84" w:rsidRDefault="00A231E2" w:rsidP="00546118">
      <w:pPr>
        <w:pStyle w:val="pf0"/>
        <w:numPr>
          <w:ilvl w:val="2"/>
          <w:numId w:val="68"/>
        </w:numPr>
        <w:ind w:left="1440" w:hanging="720"/>
        <w:rPr>
          <w:rStyle w:val="cf01"/>
          <w:rFonts w:ascii="Aptos" w:hAnsi="Aptos" w:cstheme="minorHAnsi"/>
          <w:b/>
          <w:bCs/>
          <w:sz w:val="22"/>
          <w:szCs w:val="22"/>
        </w:rPr>
      </w:pPr>
      <w:bookmarkStart w:id="246" w:name="_Toc208856293"/>
      <w:r w:rsidRPr="0043347C">
        <w:rPr>
          <w:rStyle w:val="cf01"/>
          <w:rFonts w:ascii="Aptos" w:hAnsi="Aptos" w:cstheme="minorHAnsi"/>
          <w:b/>
          <w:bCs/>
          <w:sz w:val="22"/>
          <w:szCs w:val="22"/>
        </w:rPr>
        <w:t>Tender Lot</w:t>
      </w:r>
      <w:r w:rsidR="00CB5E84" w:rsidRPr="0043347C">
        <w:rPr>
          <w:rStyle w:val="cf01"/>
          <w:rFonts w:ascii="Aptos" w:hAnsi="Aptos" w:cstheme="minorHAnsi"/>
          <w:b/>
          <w:bCs/>
          <w:sz w:val="22"/>
          <w:szCs w:val="22"/>
        </w:rPr>
        <w:t xml:space="preserve"> Structure</w:t>
      </w:r>
      <w:bookmarkEnd w:id="246"/>
    </w:p>
    <w:p w14:paraId="097A6ADD" w14:textId="74C63DEB" w:rsidR="006C2654" w:rsidRDefault="00CB5E84" w:rsidP="0043347C">
      <w:pPr>
        <w:pStyle w:val="TitleClause"/>
        <w:rPr>
          <w:rStyle w:val="cf01"/>
          <w:rFonts w:ascii="Aptos" w:hAnsi="Aptos" w:cstheme="minorHAnsi"/>
          <w:sz w:val="22"/>
          <w:szCs w:val="22"/>
        </w:rPr>
      </w:pPr>
      <w:bookmarkStart w:id="247" w:name="_Toc208856294"/>
      <w:bookmarkStart w:id="248" w:name="_Toc208864921"/>
      <w:r w:rsidRPr="00CB5E84">
        <w:rPr>
          <w:rFonts w:ascii="Aptos" w:hAnsi="Aptos"/>
          <w:b w:val="0"/>
          <w:bCs/>
        </w:rPr>
        <w:t xml:space="preserve">Tenderers </w:t>
      </w:r>
      <w:r>
        <w:rPr>
          <w:rFonts w:ascii="Aptos" w:hAnsi="Aptos"/>
          <w:b w:val="0"/>
          <w:bCs/>
        </w:rPr>
        <w:t xml:space="preserve">will be asked to </w:t>
      </w:r>
      <w:r w:rsidR="00CB7A09">
        <w:rPr>
          <w:rFonts w:ascii="Aptos" w:hAnsi="Aptos"/>
          <w:b w:val="0"/>
          <w:bCs/>
        </w:rPr>
        <w:t>state which lot or lots</w:t>
      </w:r>
      <w:r w:rsidR="00AE3286">
        <w:rPr>
          <w:rFonts w:ascii="Aptos" w:hAnsi="Aptos"/>
          <w:b w:val="0"/>
          <w:bCs/>
        </w:rPr>
        <w:t xml:space="preserve"> they wish to be considered for in the </w:t>
      </w:r>
      <w:r w:rsidR="004403A5">
        <w:rPr>
          <w:rFonts w:ascii="Aptos" w:hAnsi="Aptos"/>
          <w:b w:val="0"/>
          <w:bCs/>
        </w:rPr>
        <w:t xml:space="preserve">Appendix </w:t>
      </w:r>
      <w:r w:rsidR="003A73D5">
        <w:rPr>
          <w:rFonts w:ascii="Aptos" w:hAnsi="Aptos"/>
          <w:b w:val="0"/>
          <w:bCs/>
        </w:rPr>
        <w:t xml:space="preserve">A – </w:t>
      </w:r>
      <w:r w:rsidR="00FF5345">
        <w:rPr>
          <w:rFonts w:ascii="Aptos" w:hAnsi="Aptos"/>
          <w:b w:val="0"/>
          <w:bCs/>
        </w:rPr>
        <w:t>P</w:t>
      </w:r>
      <w:r w:rsidR="003A73D5">
        <w:rPr>
          <w:rFonts w:ascii="Aptos" w:hAnsi="Aptos"/>
          <w:b w:val="0"/>
          <w:bCs/>
        </w:rPr>
        <w:t xml:space="preserve">rocurement </w:t>
      </w:r>
      <w:r w:rsidR="00FF5345">
        <w:rPr>
          <w:rFonts w:ascii="Aptos" w:hAnsi="Aptos"/>
          <w:b w:val="0"/>
          <w:bCs/>
        </w:rPr>
        <w:t>S</w:t>
      </w:r>
      <w:r w:rsidR="003A73D5">
        <w:rPr>
          <w:rFonts w:ascii="Aptos" w:hAnsi="Aptos"/>
          <w:b w:val="0"/>
          <w:bCs/>
        </w:rPr>
        <w:t xml:space="preserve">pecific </w:t>
      </w:r>
      <w:r w:rsidR="00FF5345">
        <w:rPr>
          <w:rFonts w:ascii="Aptos" w:hAnsi="Aptos"/>
          <w:b w:val="0"/>
          <w:bCs/>
        </w:rPr>
        <w:t>Q</w:t>
      </w:r>
      <w:r w:rsidR="003A73D5">
        <w:rPr>
          <w:rFonts w:ascii="Aptos" w:hAnsi="Aptos"/>
          <w:b w:val="0"/>
          <w:bCs/>
        </w:rPr>
        <w:t>uestionnaire</w:t>
      </w:r>
      <w:r w:rsidR="00982F54">
        <w:rPr>
          <w:rFonts w:ascii="Aptos" w:hAnsi="Aptos"/>
          <w:b w:val="0"/>
          <w:bCs/>
        </w:rPr>
        <w:t>.</w:t>
      </w:r>
      <w:bookmarkStart w:id="249" w:name="_Toc208856295"/>
      <w:bookmarkEnd w:id="247"/>
      <w:bookmarkEnd w:id="248"/>
    </w:p>
    <w:p w14:paraId="6BFB0172" w14:textId="28D83ABC" w:rsidR="00982F54" w:rsidRPr="0043347C" w:rsidRDefault="00982F54" w:rsidP="0043347C">
      <w:pPr>
        <w:pStyle w:val="pf0"/>
        <w:numPr>
          <w:ilvl w:val="2"/>
          <w:numId w:val="68"/>
        </w:numPr>
        <w:ind w:left="1440" w:hanging="720"/>
        <w:rPr>
          <w:rStyle w:val="cf01"/>
          <w:rFonts w:ascii="Aptos" w:hAnsi="Aptos" w:cstheme="minorHAnsi"/>
          <w:b/>
          <w:sz w:val="22"/>
          <w:szCs w:val="22"/>
        </w:rPr>
      </w:pPr>
      <w:r w:rsidRPr="0043347C">
        <w:rPr>
          <w:rStyle w:val="cf01"/>
          <w:rFonts w:ascii="Aptos" w:hAnsi="Aptos" w:cstheme="minorHAnsi"/>
          <w:b/>
          <w:sz w:val="22"/>
          <w:szCs w:val="22"/>
        </w:rPr>
        <w:t>Current Considerations</w:t>
      </w:r>
      <w:bookmarkEnd w:id="249"/>
    </w:p>
    <w:p w14:paraId="3DFA20FF" w14:textId="7DCB1FBB" w:rsidR="00FB35A7" w:rsidRPr="00F2747D" w:rsidRDefault="008A65D0" w:rsidP="00F2747D">
      <w:pPr>
        <w:pStyle w:val="TitleClause"/>
        <w:rPr>
          <w:rFonts w:ascii="Aptos" w:hAnsi="Aptos"/>
          <w:b w:val="0"/>
          <w:bCs/>
        </w:rPr>
      </w:pPr>
      <w:bookmarkStart w:id="250" w:name="_Toc208856296"/>
      <w:bookmarkStart w:id="251" w:name="_Toc208864922"/>
      <w:r w:rsidRPr="00F2747D">
        <w:rPr>
          <w:rFonts w:ascii="Aptos" w:hAnsi="Aptos"/>
          <w:b w:val="0"/>
          <w:bCs/>
        </w:rPr>
        <w:lastRenderedPageBreak/>
        <w:t xml:space="preserve">Over the next twelve months there are, at </w:t>
      </w:r>
      <w:r w:rsidR="00E63179">
        <w:rPr>
          <w:rFonts w:ascii="Aptos" w:hAnsi="Aptos"/>
          <w:b w:val="0"/>
          <w:bCs/>
        </w:rPr>
        <w:t>the time of publication,</w:t>
      </w:r>
      <w:r w:rsidRPr="00F2747D">
        <w:rPr>
          <w:rFonts w:ascii="Aptos" w:hAnsi="Aptos"/>
          <w:b w:val="0"/>
          <w:bCs/>
        </w:rPr>
        <w:t xml:space="preserve"> potentially fourteen Academies whose existing arrangements will end. These academies </w:t>
      </w:r>
      <w:proofErr w:type="gramStart"/>
      <w:r w:rsidRPr="00F2747D">
        <w:rPr>
          <w:rFonts w:ascii="Aptos" w:hAnsi="Aptos"/>
          <w:b w:val="0"/>
          <w:bCs/>
        </w:rPr>
        <w:t>are located in</w:t>
      </w:r>
      <w:proofErr w:type="gramEnd"/>
      <w:r w:rsidRPr="00F2747D">
        <w:rPr>
          <w:rFonts w:ascii="Aptos" w:hAnsi="Aptos"/>
          <w:b w:val="0"/>
          <w:bCs/>
        </w:rPr>
        <w:t xml:space="preserve"> the following </w:t>
      </w:r>
      <w:r w:rsidR="00E43F09">
        <w:rPr>
          <w:rFonts w:ascii="Aptos" w:hAnsi="Aptos"/>
          <w:b w:val="0"/>
          <w:bCs/>
        </w:rPr>
        <w:t>geographical l</w:t>
      </w:r>
      <w:r w:rsidRPr="00F2747D">
        <w:rPr>
          <w:rFonts w:ascii="Aptos" w:hAnsi="Aptos"/>
          <w:b w:val="0"/>
          <w:bCs/>
        </w:rPr>
        <w:t>ots:</w:t>
      </w:r>
      <w:bookmarkEnd w:id="250"/>
      <w:bookmarkEnd w:id="251"/>
    </w:p>
    <w:tbl>
      <w:tblPr>
        <w:tblStyle w:val="TableGrid"/>
        <w:tblW w:w="9780" w:type="dxa"/>
        <w:jc w:val="center"/>
        <w:tblInd w:w="0" w:type="dxa"/>
        <w:tblLayout w:type="fixed"/>
        <w:tblLook w:val="06A0" w:firstRow="1" w:lastRow="0" w:firstColumn="1" w:lastColumn="0" w:noHBand="1" w:noVBand="1"/>
      </w:tblPr>
      <w:tblGrid>
        <w:gridCol w:w="4890"/>
        <w:gridCol w:w="4890"/>
      </w:tblGrid>
      <w:tr w:rsidR="00F2747D" w:rsidRPr="00F2747D" w14:paraId="206FA444" w14:textId="77777777" w:rsidTr="006154B0">
        <w:trPr>
          <w:cnfStyle w:val="100000000000" w:firstRow="1" w:lastRow="0" w:firstColumn="0" w:lastColumn="0" w:oddVBand="0" w:evenVBand="0" w:oddHBand="0" w:evenHBand="0" w:firstRowFirstColumn="0" w:firstRowLastColumn="0" w:lastRowFirstColumn="0" w:lastRowLastColumn="0"/>
          <w:jc w:val="center"/>
        </w:trPr>
        <w:tc>
          <w:tcPr>
            <w:tcW w:w="4890" w:type="dxa"/>
          </w:tcPr>
          <w:p w14:paraId="08CDB8FF" w14:textId="6169FD8E" w:rsidR="008A65D0" w:rsidRPr="00F2747D" w:rsidRDefault="00E43F09" w:rsidP="00F2747D">
            <w:pPr>
              <w:jc w:val="center"/>
              <w:rPr>
                <w:rFonts w:ascii="Aptos" w:hAnsi="Aptos" w:cs="Arial"/>
                <w:b/>
                <w:bCs/>
                <w:szCs w:val="22"/>
              </w:rPr>
            </w:pPr>
            <w:r>
              <w:rPr>
                <w:rFonts w:ascii="Aptos" w:eastAsia="Arial" w:hAnsi="Aptos" w:cs="Arial"/>
                <w:b/>
                <w:bCs/>
                <w:szCs w:val="22"/>
                <w:lang w:val="en-US"/>
              </w:rPr>
              <w:t xml:space="preserve">Geographical </w:t>
            </w:r>
            <w:r w:rsidR="008A65D0" w:rsidRPr="00F2747D">
              <w:rPr>
                <w:rFonts w:ascii="Aptos" w:eastAsia="Arial" w:hAnsi="Aptos" w:cs="Arial"/>
                <w:b/>
                <w:bCs/>
                <w:szCs w:val="22"/>
                <w:lang w:val="en-US"/>
              </w:rPr>
              <w:t xml:space="preserve">Lot </w:t>
            </w:r>
          </w:p>
        </w:tc>
        <w:tc>
          <w:tcPr>
            <w:tcW w:w="4890" w:type="dxa"/>
          </w:tcPr>
          <w:p w14:paraId="573ED49E" w14:textId="62E93803" w:rsidR="008A65D0" w:rsidRPr="00F2747D" w:rsidRDefault="008A65D0" w:rsidP="00F2747D">
            <w:pPr>
              <w:jc w:val="center"/>
              <w:rPr>
                <w:rFonts w:ascii="Aptos" w:hAnsi="Aptos" w:cs="Arial"/>
                <w:b/>
                <w:bCs/>
                <w:szCs w:val="22"/>
              </w:rPr>
            </w:pPr>
            <w:r w:rsidRPr="00F2747D">
              <w:rPr>
                <w:rFonts w:ascii="Aptos" w:eastAsia="Arial" w:hAnsi="Aptos" w:cs="Arial"/>
                <w:b/>
                <w:bCs/>
                <w:szCs w:val="22"/>
                <w:lang w:val="en-US"/>
              </w:rPr>
              <w:t>Academies</w:t>
            </w:r>
          </w:p>
        </w:tc>
      </w:tr>
      <w:tr w:rsidR="00F2747D" w:rsidRPr="00F2747D" w14:paraId="02E93500" w14:textId="77777777" w:rsidTr="006154B0">
        <w:trPr>
          <w:jc w:val="center"/>
        </w:trPr>
        <w:tc>
          <w:tcPr>
            <w:tcW w:w="4890" w:type="dxa"/>
          </w:tcPr>
          <w:p w14:paraId="75FD89A2" w14:textId="77777777" w:rsidR="008A65D0" w:rsidRPr="00F2747D" w:rsidRDefault="008A65D0">
            <w:pPr>
              <w:rPr>
                <w:rFonts w:ascii="Aptos" w:hAnsi="Aptos" w:cs="Arial"/>
                <w:sz w:val="22"/>
                <w:szCs w:val="22"/>
              </w:rPr>
            </w:pPr>
            <w:r w:rsidRPr="00F2747D">
              <w:rPr>
                <w:rFonts w:ascii="Aptos" w:eastAsia="Arial" w:hAnsi="Aptos" w:cs="Arial"/>
                <w:sz w:val="22"/>
                <w:szCs w:val="22"/>
                <w:lang w:val="en-US"/>
              </w:rPr>
              <w:t xml:space="preserve"> Lot 1 – North Region</w:t>
            </w:r>
          </w:p>
        </w:tc>
        <w:tc>
          <w:tcPr>
            <w:tcW w:w="4890" w:type="dxa"/>
          </w:tcPr>
          <w:p w14:paraId="1A961041" w14:textId="77777777" w:rsidR="008A65D0" w:rsidRPr="00F2747D" w:rsidRDefault="008A65D0">
            <w:pPr>
              <w:rPr>
                <w:rFonts w:ascii="Aptos" w:eastAsia="Arial" w:hAnsi="Aptos" w:cs="Arial"/>
                <w:sz w:val="22"/>
                <w:szCs w:val="22"/>
                <w:lang w:val="en-US"/>
              </w:rPr>
            </w:pPr>
            <w:r w:rsidRPr="00F2747D">
              <w:rPr>
                <w:rFonts w:ascii="Aptos" w:eastAsia="Arial" w:hAnsi="Aptos" w:cs="Arial"/>
                <w:sz w:val="22"/>
                <w:szCs w:val="22"/>
                <w:lang w:val="en-US"/>
              </w:rPr>
              <w:t>Ormiston Ilkeston Enterprise Academy-end date 31/7/26</w:t>
            </w:r>
          </w:p>
          <w:p w14:paraId="09FA3F98" w14:textId="77777777" w:rsidR="008A65D0" w:rsidRPr="00F2747D" w:rsidRDefault="008A65D0">
            <w:pPr>
              <w:rPr>
                <w:rFonts w:ascii="Aptos" w:eastAsia="Arial" w:hAnsi="Aptos" w:cs="Arial"/>
                <w:sz w:val="22"/>
                <w:szCs w:val="22"/>
                <w:lang w:val="en-US"/>
              </w:rPr>
            </w:pPr>
            <w:r w:rsidRPr="00F2747D">
              <w:rPr>
                <w:rFonts w:ascii="Aptos" w:eastAsia="Arial" w:hAnsi="Aptos" w:cs="Arial"/>
                <w:sz w:val="22"/>
                <w:szCs w:val="22"/>
                <w:lang w:val="en-US"/>
              </w:rPr>
              <w:t>Ormiston Meridian Academy – end date 9/4/26 or may be extended until 31/7/26</w:t>
            </w:r>
          </w:p>
          <w:p w14:paraId="6066639D" w14:textId="77777777" w:rsidR="008A65D0" w:rsidRPr="00F2747D" w:rsidRDefault="008A65D0">
            <w:pPr>
              <w:rPr>
                <w:rFonts w:ascii="Aptos" w:eastAsia="Arial" w:hAnsi="Aptos" w:cs="Arial"/>
                <w:sz w:val="22"/>
                <w:szCs w:val="22"/>
                <w:lang w:val="en-US"/>
              </w:rPr>
            </w:pPr>
            <w:r w:rsidRPr="00F2747D">
              <w:rPr>
                <w:rFonts w:ascii="Aptos" w:eastAsia="Arial" w:hAnsi="Aptos" w:cs="Arial"/>
                <w:sz w:val="22"/>
                <w:szCs w:val="22"/>
                <w:lang w:val="en-US"/>
              </w:rPr>
              <w:t>Ormiston Packmoor Academy – end date 31/8/26</w:t>
            </w:r>
          </w:p>
          <w:p w14:paraId="53085D1E" w14:textId="77777777" w:rsidR="008A65D0" w:rsidRPr="00F2747D" w:rsidRDefault="008A65D0">
            <w:pPr>
              <w:rPr>
                <w:rFonts w:ascii="Aptos" w:hAnsi="Aptos" w:cs="Arial"/>
                <w:sz w:val="22"/>
                <w:szCs w:val="22"/>
              </w:rPr>
            </w:pPr>
            <w:r w:rsidRPr="00F2747D">
              <w:rPr>
                <w:rFonts w:ascii="Aptos" w:eastAsia="Arial" w:hAnsi="Aptos" w:cs="Arial"/>
                <w:sz w:val="22"/>
                <w:szCs w:val="22"/>
                <w:lang w:val="en-US"/>
              </w:rPr>
              <w:t>Ormiston Sir Stanley Matthews Academy – end date 31/8/26</w:t>
            </w:r>
          </w:p>
        </w:tc>
      </w:tr>
      <w:tr w:rsidR="00F2747D" w:rsidRPr="00F2747D" w14:paraId="46469321" w14:textId="77777777" w:rsidTr="006154B0">
        <w:trPr>
          <w:jc w:val="center"/>
        </w:trPr>
        <w:tc>
          <w:tcPr>
            <w:tcW w:w="4890" w:type="dxa"/>
          </w:tcPr>
          <w:p w14:paraId="47A2E018" w14:textId="090D4AE2" w:rsidR="008A65D0" w:rsidRPr="00F2747D" w:rsidRDefault="008A65D0">
            <w:pPr>
              <w:rPr>
                <w:rFonts w:ascii="Aptos" w:hAnsi="Aptos" w:cs="Arial"/>
                <w:sz w:val="22"/>
                <w:szCs w:val="22"/>
              </w:rPr>
            </w:pPr>
            <w:r w:rsidRPr="00F2747D">
              <w:rPr>
                <w:rFonts w:ascii="Aptos" w:eastAsia="Arial" w:hAnsi="Aptos" w:cs="Arial"/>
                <w:sz w:val="22"/>
                <w:szCs w:val="22"/>
                <w:lang w:val="en-US"/>
              </w:rPr>
              <w:t xml:space="preserve">Lot 2- </w:t>
            </w:r>
            <w:r w:rsidR="00E43F09" w:rsidRPr="00F2747D">
              <w:rPr>
                <w:rFonts w:ascii="Aptos" w:eastAsia="Arial" w:hAnsi="Aptos" w:cs="Arial"/>
                <w:sz w:val="22"/>
                <w:szCs w:val="22"/>
                <w:lang w:val="en-US"/>
              </w:rPr>
              <w:t>Northeast</w:t>
            </w:r>
            <w:r w:rsidRPr="00F2747D">
              <w:rPr>
                <w:rFonts w:ascii="Aptos" w:eastAsia="Arial" w:hAnsi="Aptos" w:cs="Arial"/>
                <w:sz w:val="22"/>
                <w:szCs w:val="22"/>
                <w:lang w:val="en-US"/>
              </w:rPr>
              <w:t xml:space="preserve"> Region</w:t>
            </w:r>
          </w:p>
          <w:p w14:paraId="4E7BE12C" w14:textId="77777777" w:rsidR="008A65D0" w:rsidRPr="00F2747D" w:rsidRDefault="008A65D0">
            <w:pPr>
              <w:rPr>
                <w:rFonts w:ascii="Aptos" w:hAnsi="Aptos" w:cs="Arial"/>
                <w:sz w:val="22"/>
                <w:szCs w:val="22"/>
              </w:rPr>
            </w:pPr>
            <w:r w:rsidRPr="00F2747D">
              <w:rPr>
                <w:rFonts w:ascii="Aptos" w:eastAsia="Arial" w:hAnsi="Aptos" w:cs="Arial"/>
                <w:sz w:val="22"/>
                <w:szCs w:val="22"/>
                <w:lang w:val="en-US"/>
              </w:rPr>
              <w:t xml:space="preserve"> </w:t>
            </w:r>
          </w:p>
        </w:tc>
        <w:tc>
          <w:tcPr>
            <w:tcW w:w="4890" w:type="dxa"/>
          </w:tcPr>
          <w:p w14:paraId="017A2769" w14:textId="77777777" w:rsidR="008A65D0" w:rsidRPr="00F2747D" w:rsidRDefault="008A65D0">
            <w:pPr>
              <w:rPr>
                <w:rFonts w:ascii="Aptos" w:hAnsi="Aptos" w:cs="Arial"/>
                <w:sz w:val="22"/>
                <w:szCs w:val="22"/>
              </w:rPr>
            </w:pPr>
            <w:r w:rsidRPr="00F2747D">
              <w:rPr>
                <w:rFonts w:ascii="Aptos" w:eastAsia="Arial" w:hAnsi="Aptos" w:cs="Arial"/>
                <w:sz w:val="22"/>
                <w:szCs w:val="22"/>
                <w:lang w:val="en-US"/>
              </w:rPr>
              <w:t>Ormiston South Parade Academy– end date 31/7/26</w:t>
            </w:r>
          </w:p>
        </w:tc>
      </w:tr>
      <w:tr w:rsidR="00F2747D" w:rsidRPr="00F2747D" w14:paraId="50F9F9C8" w14:textId="77777777" w:rsidTr="006154B0">
        <w:trPr>
          <w:jc w:val="center"/>
        </w:trPr>
        <w:tc>
          <w:tcPr>
            <w:tcW w:w="4890" w:type="dxa"/>
          </w:tcPr>
          <w:p w14:paraId="1C87245F" w14:textId="604DF848" w:rsidR="008A65D0" w:rsidRPr="00F2747D" w:rsidRDefault="008A65D0">
            <w:pPr>
              <w:rPr>
                <w:rFonts w:ascii="Aptos" w:hAnsi="Aptos" w:cs="Arial"/>
                <w:sz w:val="22"/>
                <w:szCs w:val="22"/>
              </w:rPr>
            </w:pPr>
            <w:r w:rsidRPr="00F2747D">
              <w:rPr>
                <w:rFonts w:ascii="Aptos" w:eastAsia="Arial" w:hAnsi="Aptos" w:cs="Arial"/>
                <w:sz w:val="22"/>
                <w:szCs w:val="22"/>
                <w:lang w:val="en-US"/>
              </w:rPr>
              <w:t>Lot 3 – Midlands Region</w:t>
            </w:r>
          </w:p>
        </w:tc>
        <w:tc>
          <w:tcPr>
            <w:tcW w:w="4890" w:type="dxa"/>
          </w:tcPr>
          <w:p w14:paraId="078B051D" w14:textId="77777777" w:rsidR="008A65D0" w:rsidRPr="00F2747D" w:rsidRDefault="008A65D0">
            <w:pPr>
              <w:rPr>
                <w:rFonts w:ascii="Aptos" w:hAnsi="Aptos" w:cs="Arial"/>
                <w:sz w:val="22"/>
                <w:szCs w:val="22"/>
              </w:rPr>
            </w:pPr>
            <w:r w:rsidRPr="00F2747D">
              <w:rPr>
                <w:rFonts w:ascii="Aptos" w:eastAsia="Arial" w:hAnsi="Aptos" w:cs="Arial"/>
                <w:sz w:val="22"/>
                <w:szCs w:val="22"/>
                <w:lang w:val="en-US"/>
              </w:rPr>
              <w:t>Brownhills Ormiston Academy – end date 31/8/26</w:t>
            </w:r>
          </w:p>
          <w:p w14:paraId="7B4FF0A4" w14:textId="77777777" w:rsidR="008A65D0" w:rsidRPr="00F2747D" w:rsidRDefault="008A65D0">
            <w:pPr>
              <w:rPr>
                <w:rFonts w:ascii="Aptos" w:eastAsia="Arial" w:hAnsi="Aptos" w:cs="Arial"/>
                <w:sz w:val="22"/>
                <w:szCs w:val="22"/>
                <w:lang w:val="en-US"/>
              </w:rPr>
            </w:pPr>
            <w:r w:rsidRPr="00F2747D">
              <w:rPr>
                <w:rFonts w:ascii="Aptos" w:eastAsia="Arial" w:hAnsi="Aptos" w:cs="Arial"/>
                <w:sz w:val="22"/>
                <w:szCs w:val="22"/>
                <w:lang w:val="en-US"/>
              </w:rPr>
              <w:t>Tenbury High Ormiston Academy -end date 31/8/26</w:t>
            </w:r>
          </w:p>
          <w:p w14:paraId="44CFABE1" w14:textId="77777777" w:rsidR="008A65D0" w:rsidRPr="00F2747D" w:rsidRDefault="008A65D0">
            <w:pPr>
              <w:rPr>
                <w:rFonts w:ascii="Aptos" w:hAnsi="Aptos" w:cs="Arial"/>
                <w:sz w:val="22"/>
                <w:szCs w:val="22"/>
              </w:rPr>
            </w:pPr>
            <w:r w:rsidRPr="00F2747D">
              <w:rPr>
                <w:rFonts w:ascii="Aptos" w:eastAsia="Arial" w:hAnsi="Aptos" w:cs="Arial"/>
                <w:sz w:val="22"/>
                <w:szCs w:val="22"/>
                <w:lang w:val="en-US"/>
              </w:rPr>
              <w:t>Ormiston NEW Academy – end date 31/8/26</w:t>
            </w:r>
          </w:p>
          <w:p w14:paraId="6E01AA95" w14:textId="77777777" w:rsidR="008A65D0" w:rsidRPr="00F2747D" w:rsidRDefault="008A65D0">
            <w:pPr>
              <w:rPr>
                <w:rFonts w:ascii="Aptos" w:hAnsi="Aptos" w:cs="Arial"/>
                <w:sz w:val="22"/>
                <w:szCs w:val="22"/>
              </w:rPr>
            </w:pPr>
          </w:p>
        </w:tc>
      </w:tr>
      <w:tr w:rsidR="00F2747D" w:rsidRPr="00F2747D" w14:paraId="2DD13E97" w14:textId="77777777" w:rsidTr="006154B0">
        <w:trPr>
          <w:jc w:val="center"/>
        </w:trPr>
        <w:tc>
          <w:tcPr>
            <w:tcW w:w="4890" w:type="dxa"/>
          </w:tcPr>
          <w:p w14:paraId="20F05DFA" w14:textId="26211F71" w:rsidR="008A65D0" w:rsidRPr="00F2747D" w:rsidRDefault="008A65D0">
            <w:pPr>
              <w:rPr>
                <w:rFonts w:ascii="Aptos" w:hAnsi="Aptos" w:cs="Arial"/>
                <w:sz w:val="22"/>
                <w:szCs w:val="22"/>
              </w:rPr>
            </w:pPr>
            <w:r w:rsidRPr="00F2747D">
              <w:rPr>
                <w:rFonts w:ascii="Aptos" w:eastAsia="Arial" w:hAnsi="Aptos" w:cs="Arial"/>
                <w:sz w:val="22"/>
                <w:szCs w:val="22"/>
                <w:lang w:val="en-US"/>
              </w:rPr>
              <w:t>Lot 4 – East Region</w:t>
            </w:r>
          </w:p>
          <w:p w14:paraId="4051FE03" w14:textId="77777777" w:rsidR="008A65D0" w:rsidRPr="00F2747D" w:rsidRDefault="008A65D0">
            <w:pPr>
              <w:rPr>
                <w:rFonts w:ascii="Aptos" w:hAnsi="Aptos" w:cs="Arial"/>
                <w:sz w:val="22"/>
                <w:szCs w:val="22"/>
              </w:rPr>
            </w:pPr>
            <w:r w:rsidRPr="00F2747D">
              <w:rPr>
                <w:rFonts w:ascii="Aptos" w:eastAsia="Arial" w:hAnsi="Aptos" w:cs="Arial"/>
                <w:sz w:val="22"/>
                <w:szCs w:val="22"/>
                <w:lang w:val="en-US"/>
              </w:rPr>
              <w:t xml:space="preserve"> </w:t>
            </w:r>
          </w:p>
        </w:tc>
        <w:tc>
          <w:tcPr>
            <w:tcW w:w="4890" w:type="dxa"/>
          </w:tcPr>
          <w:p w14:paraId="248A89CA" w14:textId="77777777" w:rsidR="008A65D0" w:rsidRPr="00F2747D" w:rsidRDefault="008A65D0">
            <w:pPr>
              <w:rPr>
                <w:rFonts w:ascii="Aptos" w:hAnsi="Aptos" w:cs="Arial"/>
                <w:sz w:val="22"/>
                <w:szCs w:val="22"/>
              </w:rPr>
            </w:pPr>
            <w:r w:rsidRPr="00F2747D">
              <w:rPr>
                <w:rFonts w:ascii="Aptos" w:eastAsia="Arial" w:hAnsi="Aptos" w:cs="Arial"/>
                <w:sz w:val="22"/>
                <w:szCs w:val="22"/>
                <w:lang w:val="en-US"/>
              </w:rPr>
              <w:t>Ormiston Cliff Park Primary Academy– end date 31/8/26</w:t>
            </w:r>
          </w:p>
          <w:p w14:paraId="71D4D5E8" w14:textId="77777777" w:rsidR="008A65D0" w:rsidRPr="00F2747D" w:rsidRDefault="008A65D0">
            <w:pPr>
              <w:rPr>
                <w:rFonts w:ascii="Aptos" w:hAnsi="Aptos" w:cs="Arial"/>
                <w:sz w:val="22"/>
                <w:szCs w:val="22"/>
              </w:rPr>
            </w:pPr>
            <w:r w:rsidRPr="00F2747D">
              <w:rPr>
                <w:rFonts w:ascii="Aptos" w:eastAsia="Arial" w:hAnsi="Aptos" w:cs="Arial"/>
                <w:sz w:val="22"/>
                <w:szCs w:val="22"/>
                <w:lang w:val="en-US"/>
              </w:rPr>
              <w:t>Edward Worlledge Ormiston Academy– end date 31/8/26</w:t>
            </w:r>
          </w:p>
          <w:p w14:paraId="0D1F2915" w14:textId="77777777" w:rsidR="008A65D0" w:rsidRPr="00F2747D" w:rsidRDefault="008A65D0">
            <w:pPr>
              <w:rPr>
                <w:rFonts w:ascii="Aptos" w:hAnsi="Aptos" w:cs="Arial"/>
                <w:sz w:val="22"/>
                <w:szCs w:val="22"/>
              </w:rPr>
            </w:pPr>
            <w:r w:rsidRPr="00F2747D">
              <w:rPr>
                <w:rFonts w:ascii="Aptos" w:eastAsia="Arial" w:hAnsi="Aptos" w:cs="Arial"/>
                <w:sz w:val="22"/>
                <w:szCs w:val="22"/>
                <w:lang w:val="en-US"/>
              </w:rPr>
              <w:t>Ormiston Herman Academy– end date 31/8/26</w:t>
            </w:r>
          </w:p>
          <w:p w14:paraId="7F77D195" w14:textId="77777777" w:rsidR="008A65D0" w:rsidRPr="00F2747D" w:rsidRDefault="008A65D0">
            <w:pPr>
              <w:rPr>
                <w:rFonts w:ascii="Aptos" w:eastAsia="Arial" w:hAnsi="Aptos" w:cs="Arial"/>
                <w:sz w:val="22"/>
                <w:szCs w:val="22"/>
                <w:lang w:val="en-US"/>
              </w:rPr>
            </w:pPr>
            <w:r w:rsidRPr="00F2747D">
              <w:rPr>
                <w:rFonts w:ascii="Aptos" w:eastAsia="Arial" w:hAnsi="Aptos" w:cs="Arial"/>
                <w:sz w:val="22"/>
                <w:szCs w:val="22"/>
                <w:lang w:val="en-US"/>
              </w:rPr>
              <w:t>Ormiston Endeavour Academy– end date 31/8/26 with Thomas Wolsey Ormiston Academy- end date 31/8/26</w:t>
            </w:r>
          </w:p>
          <w:p w14:paraId="32B041DB" w14:textId="77777777" w:rsidR="008A65D0" w:rsidRPr="00F2747D" w:rsidRDefault="008A65D0">
            <w:pPr>
              <w:rPr>
                <w:rFonts w:ascii="Aptos" w:hAnsi="Aptos" w:cs="Arial"/>
                <w:sz w:val="22"/>
                <w:szCs w:val="22"/>
              </w:rPr>
            </w:pPr>
            <w:r w:rsidRPr="00F2747D">
              <w:rPr>
                <w:rFonts w:ascii="Aptos" w:eastAsia="Arial" w:hAnsi="Aptos" w:cs="Arial"/>
                <w:sz w:val="22"/>
                <w:szCs w:val="22"/>
                <w:lang w:val="en-US"/>
              </w:rPr>
              <w:t>Ormiston Stoke High Academy 31/8/26</w:t>
            </w:r>
          </w:p>
          <w:p w14:paraId="2EDB4ACC" w14:textId="77777777" w:rsidR="008A65D0" w:rsidRPr="00F2747D" w:rsidRDefault="008A65D0">
            <w:pPr>
              <w:rPr>
                <w:rFonts w:ascii="Aptos" w:hAnsi="Aptos" w:cs="Arial"/>
                <w:sz w:val="22"/>
                <w:szCs w:val="22"/>
              </w:rPr>
            </w:pPr>
          </w:p>
        </w:tc>
      </w:tr>
      <w:tr w:rsidR="00F2747D" w:rsidRPr="00F2747D" w14:paraId="6FA54083" w14:textId="77777777" w:rsidTr="006154B0">
        <w:trPr>
          <w:jc w:val="center"/>
        </w:trPr>
        <w:tc>
          <w:tcPr>
            <w:tcW w:w="4890" w:type="dxa"/>
          </w:tcPr>
          <w:p w14:paraId="4F5AEF76" w14:textId="2A3ACE48" w:rsidR="008A65D0" w:rsidRPr="00F2747D" w:rsidRDefault="008A65D0">
            <w:pPr>
              <w:rPr>
                <w:rFonts w:ascii="Aptos" w:hAnsi="Aptos" w:cs="Arial"/>
                <w:sz w:val="22"/>
                <w:szCs w:val="22"/>
              </w:rPr>
            </w:pPr>
            <w:r w:rsidRPr="00F2747D">
              <w:rPr>
                <w:rFonts w:ascii="Aptos" w:eastAsia="Arial" w:hAnsi="Aptos" w:cs="Arial"/>
                <w:sz w:val="22"/>
                <w:szCs w:val="22"/>
                <w:lang w:val="en-US"/>
              </w:rPr>
              <w:t>Lot 5 – London Region</w:t>
            </w:r>
          </w:p>
          <w:p w14:paraId="6EA15C14" w14:textId="77777777" w:rsidR="008A65D0" w:rsidRPr="00F2747D" w:rsidRDefault="008A65D0">
            <w:pPr>
              <w:rPr>
                <w:rFonts w:ascii="Aptos" w:hAnsi="Aptos" w:cs="Arial"/>
                <w:sz w:val="22"/>
                <w:szCs w:val="22"/>
              </w:rPr>
            </w:pPr>
          </w:p>
        </w:tc>
        <w:tc>
          <w:tcPr>
            <w:tcW w:w="4890" w:type="dxa"/>
          </w:tcPr>
          <w:p w14:paraId="3F565FC8" w14:textId="0F08D091" w:rsidR="008A65D0" w:rsidRPr="00F2747D" w:rsidRDefault="008A65D0">
            <w:pPr>
              <w:rPr>
                <w:rFonts w:ascii="Aptos" w:hAnsi="Aptos" w:cs="Arial"/>
                <w:sz w:val="22"/>
                <w:szCs w:val="22"/>
              </w:rPr>
            </w:pPr>
            <w:r w:rsidRPr="00F2747D">
              <w:rPr>
                <w:rFonts w:ascii="Aptos" w:eastAsia="Arial" w:hAnsi="Aptos" w:cs="Arial"/>
                <w:sz w:val="22"/>
                <w:szCs w:val="22"/>
                <w:lang w:val="en-US"/>
              </w:rPr>
              <w:t xml:space="preserve">NO Academies in this region fall into the next </w:t>
            </w:r>
            <w:r w:rsidR="00E63179" w:rsidRPr="00F2747D">
              <w:rPr>
                <w:rFonts w:ascii="Aptos" w:eastAsia="Arial" w:hAnsi="Aptos" w:cs="Arial"/>
                <w:sz w:val="22"/>
                <w:szCs w:val="22"/>
                <w:lang w:val="en-US"/>
              </w:rPr>
              <w:t>12-month</w:t>
            </w:r>
            <w:r w:rsidRPr="00F2747D">
              <w:rPr>
                <w:rFonts w:ascii="Aptos" w:eastAsia="Arial" w:hAnsi="Aptos" w:cs="Arial"/>
                <w:sz w:val="22"/>
                <w:szCs w:val="22"/>
                <w:lang w:val="en-US"/>
              </w:rPr>
              <w:t xml:space="preserve"> date line at present</w:t>
            </w:r>
          </w:p>
        </w:tc>
      </w:tr>
      <w:tr w:rsidR="00F2747D" w:rsidRPr="00F2747D" w14:paraId="7F6E260B" w14:textId="77777777" w:rsidTr="006154B0">
        <w:trPr>
          <w:jc w:val="center"/>
        </w:trPr>
        <w:tc>
          <w:tcPr>
            <w:tcW w:w="4890" w:type="dxa"/>
          </w:tcPr>
          <w:p w14:paraId="31A8DF05" w14:textId="2D0857C1" w:rsidR="008A65D0" w:rsidRPr="00F2747D" w:rsidRDefault="008A65D0">
            <w:pPr>
              <w:rPr>
                <w:rFonts w:ascii="Aptos" w:hAnsi="Aptos" w:cs="Arial"/>
                <w:sz w:val="22"/>
                <w:szCs w:val="22"/>
              </w:rPr>
            </w:pPr>
            <w:r w:rsidRPr="00F2747D">
              <w:rPr>
                <w:rFonts w:ascii="Aptos" w:eastAsia="Arial" w:hAnsi="Aptos" w:cs="Arial"/>
                <w:sz w:val="22"/>
                <w:szCs w:val="22"/>
                <w:lang w:val="en-US"/>
              </w:rPr>
              <w:lastRenderedPageBreak/>
              <w:t>Lot 6 – South Region</w:t>
            </w:r>
          </w:p>
        </w:tc>
        <w:tc>
          <w:tcPr>
            <w:tcW w:w="4890" w:type="dxa"/>
          </w:tcPr>
          <w:p w14:paraId="36809F5B" w14:textId="6E6E816C" w:rsidR="008A65D0" w:rsidRPr="00F2747D" w:rsidRDefault="0024255B">
            <w:pPr>
              <w:rPr>
                <w:rFonts w:ascii="Aptos" w:hAnsi="Aptos" w:cs="Arial"/>
                <w:sz w:val="22"/>
                <w:szCs w:val="22"/>
              </w:rPr>
            </w:pPr>
            <w:r>
              <w:rPr>
                <w:rFonts w:ascii="Aptos" w:eastAsia="Arial" w:hAnsi="Aptos" w:cs="Arial"/>
                <w:sz w:val="22"/>
                <w:szCs w:val="22"/>
                <w:lang w:val="en-US"/>
              </w:rPr>
              <w:t>Ormiston Hunnyhill Academy</w:t>
            </w:r>
            <w:r w:rsidR="00FA6D48">
              <w:rPr>
                <w:rFonts w:ascii="Aptos" w:eastAsia="Arial" w:hAnsi="Aptos" w:cs="Arial"/>
                <w:sz w:val="22"/>
                <w:szCs w:val="22"/>
                <w:lang w:val="en-US"/>
              </w:rPr>
              <w:t xml:space="preserve"> 31/07/26</w:t>
            </w:r>
          </w:p>
        </w:tc>
      </w:tr>
    </w:tbl>
    <w:p w14:paraId="3FB678D8" w14:textId="77777777" w:rsidR="008A65D0" w:rsidRPr="008A65D0" w:rsidRDefault="008A65D0" w:rsidP="008A65D0">
      <w:pPr>
        <w:jc w:val="center"/>
        <w:rPr>
          <w:rFonts w:ascii="Aptos" w:hAnsi="Aptos" w:cs="Arial"/>
          <w:color w:val="0070C0"/>
        </w:rPr>
      </w:pPr>
      <w:r w:rsidRPr="008A65D0">
        <w:rPr>
          <w:rFonts w:ascii="Aptos" w:eastAsia="Arial" w:hAnsi="Aptos" w:cs="Arial"/>
          <w:b/>
          <w:bCs/>
          <w:color w:val="0070C0"/>
          <w:lang w:val="en-US"/>
        </w:rPr>
        <w:t xml:space="preserve"> </w:t>
      </w:r>
    </w:p>
    <w:p w14:paraId="5646D241" w14:textId="3883B91F" w:rsidR="008A65D0" w:rsidRPr="00E43F09" w:rsidRDefault="008A65D0" w:rsidP="008A65D0">
      <w:pPr>
        <w:rPr>
          <w:rFonts w:ascii="Aptos" w:eastAsia="Arial" w:hAnsi="Aptos" w:cs="Arial"/>
          <w:lang w:val="en-US"/>
        </w:rPr>
      </w:pPr>
      <w:r w:rsidRPr="00E43F09">
        <w:rPr>
          <w:rFonts w:ascii="Aptos" w:eastAsia="Arial" w:hAnsi="Aptos" w:cs="Arial"/>
          <w:lang w:val="en-US"/>
        </w:rPr>
        <w:t>The below table details OAT Academies that have contracts in place under the existing framework</w:t>
      </w:r>
      <w:r w:rsidR="004F7BFF">
        <w:rPr>
          <w:rFonts w:ascii="Aptos" w:eastAsia="Arial" w:hAnsi="Aptos" w:cs="Arial"/>
          <w:lang w:val="en-US"/>
        </w:rPr>
        <w:t xml:space="preserve"> </w:t>
      </w:r>
      <w:r w:rsidR="00953FD8">
        <w:rPr>
          <w:rFonts w:ascii="Aptos" w:eastAsia="Arial" w:hAnsi="Aptos" w:cs="Arial"/>
          <w:lang w:val="en-US"/>
        </w:rPr>
        <w:t>which</w:t>
      </w:r>
      <w:r w:rsidRPr="00E43F09">
        <w:rPr>
          <w:rFonts w:ascii="Aptos" w:eastAsia="Arial" w:hAnsi="Aptos" w:cs="Arial"/>
          <w:lang w:val="en-US"/>
        </w:rPr>
        <w:t xml:space="preserve"> may run, with </w:t>
      </w:r>
      <w:r w:rsidR="00311DF1">
        <w:rPr>
          <w:rFonts w:ascii="Aptos" w:eastAsia="Arial" w:hAnsi="Aptos" w:cs="Arial"/>
          <w:lang w:val="en-US"/>
        </w:rPr>
        <w:t>maximum</w:t>
      </w:r>
      <w:r w:rsidRPr="00E43F09">
        <w:rPr>
          <w:rFonts w:ascii="Aptos" w:eastAsia="Arial" w:hAnsi="Aptos" w:cs="Arial"/>
          <w:lang w:val="en-US"/>
        </w:rPr>
        <w:t xml:space="preserve"> contract extensions</w:t>
      </w:r>
      <w:r w:rsidR="00311DF1">
        <w:rPr>
          <w:rFonts w:ascii="Aptos" w:eastAsia="Arial" w:hAnsi="Aptos" w:cs="Arial"/>
          <w:lang w:val="en-US"/>
        </w:rPr>
        <w:t xml:space="preserve"> being applied</w:t>
      </w:r>
      <w:r w:rsidRPr="00E43F09">
        <w:rPr>
          <w:rFonts w:ascii="Aptos" w:eastAsia="Arial" w:hAnsi="Aptos" w:cs="Arial"/>
          <w:lang w:val="en-US"/>
        </w:rPr>
        <w:t>, until 2030.</w:t>
      </w:r>
    </w:p>
    <w:p w14:paraId="75FCF501" w14:textId="77777777" w:rsidR="008A65D0" w:rsidRPr="008A65D0" w:rsidRDefault="008A65D0" w:rsidP="008A65D0">
      <w:pPr>
        <w:rPr>
          <w:rFonts w:ascii="Aptos" w:eastAsia="Arial" w:hAnsi="Aptos" w:cs="Arial"/>
          <w:color w:val="0070C0"/>
          <w:lang w:val="en-US"/>
        </w:rPr>
      </w:pPr>
    </w:p>
    <w:tbl>
      <w:tblPr>
        <w:tblStyle w:val="TableGrid"/>
        <w:tblW w:w="9929" w:type="dxa"/>
        <w:jc w:val="center"/>
        <w:tblInd w:w="0" w:type="dxa"/>
        <w:tblLayout w:type="fixed"/>
        <w:tblLook w:val="06A0" w:firstRow="1" w:lastRow="0" w:firstColumn="1" w:lastColumn="0" w:noHBand="1" w:noVBand="1"/>
      </w:tblPr>
      <w:tblGrid>
        <w:gridCol w:w="5039"/>
        <w:gridCol w:w="4890"/>
      </w:tblGrid>
      <w:tr w:rsidR="004F7BFF" w:rsidRPr="00E43F09" w14:paraId="5C901D98" w14:textId="77777777" w:rsidTr="006154B0">
        <w:trPr>
          <w:cnfStyle w:val="100000000000" w:firstRow="1" w:lastRow="0" w:firstColumn="0" w:lastColumn="0" w:oddVBand="0" w:evenVBand="0" w:oddHBand="0" w:evenHBand="0" w:firstRowFirstColumn="0" w:firstRowLastColumn="0" w:lastRowFirstColumn="0" w:lastRowLastColumn="0"/>
          <w:jc w:val="center"/>
        </w:trPr>
        <w:tc>
          <w:tcPr>
            <w:tcW w:w="5039" w:type="dxa"/>
          </w:tcPr>
          <w:p w14:paraId="264DA239" w14:textId="4EC04947" w:rsidR="004F7BFF" w:rsidRPr="00E43F09" w:rsidRDefault="004F7BFF" w:rsidP="004F7BFF">
            <w:pPr>
              <w:jc w:val="center"/>
              <w:rPr>
                <w:rFonts w:ascii="Aptos" w:eastAsia="Arial" w:hAnsi="Aptos" w:cs="Arial"/>
                <w:lang w:val="en-US"/>
              </w:rPr>
            </w:pPr>
            <w:r>
              <w:rPr>
                <w:rFonts w:ascii="Aptos" w:eastAsia="Arial" w:hAnsi="Aptos" w:cs="Arial"/>
                <w:b/>
                <w:bCs/>
                <w:szCs w:val="22"/>
                <w:lang w:val="en-US"/>
              </w:rPr>
              <w:t xml:space="preserve">Geographical </w:t>
            </w:r>
            <w:r w:rsidRPr="00F2747D">
              <w:rPr>
                <w:rFonts w:ascii="Aptos" w:eastAsia="Arial" w:hAnsi="Aptos" w:cs="Arial"/>
                <w:b/>
                <w:bCs/>
                <w:szCs w:val="22"/>
                <w:lang w:val="en-US"/>
              </w:rPr>
              <w:t>Lot</w:t>
            </w:r>
          </w:p>
        </w:tc>
        <w:tc>
          <w:tcPr>
            <w:tcW w:w="4890" w:type="dxa"/>
          </w:tcPr>
          <w:p w14:paraId="0B552599" w14:textId="03DAF047" w:rsidR="004F7BFF" w:rsidRPr="00E43F09" w:rsidRDefault="004F7BFF" w:rsidP="004F7BFF">
            <w:pPr>
              <w:jc w:val="center"/>
              <w:rPr>
                <w:rFonts w:ascii="Aptos" w:hAnsi="Aptos" w:cs="Arial"/>
              </w:rPr>
            </w:pPr>
            <w:r w:rsidRPr="00F2747D">
              <w:rPr>
                <w:rFonts w:ascii="Aptos" w:eastAsia="Arial" w:hAnsi="Aptos" w:cs="Arial"/>
                <w:b/>
                <w:bCs/>
                <w:szCs w:val="22"/>
                <w:lang w:val="en-US"/>
              </w:rPr>
              <w:t>Academies</w:t>
            </w:r>
          </w:p>
        </w:tc>
      </w:tr>
      <w:tr w:rsidR="00E43F09" w:rsidRPr="00E43F09" w14:paraId="3CC00C42" w14:textId="77777777" w:rsidTr="006154B0">
        <w:trPr>
          <w:trHeight w:val="910"/>
          <w:jc w:val="center"/>
        </w:trPr>
        <w:tc>
          <w:tcPr>
            <w:tcW w:w="5039" w:type="dxa"/>
          </w:tcPr>
          <w:p w14:paraId="04502F10" w14:textId="77777777" w:rsidR="008A65D0" w:rsidRPr="00E43F09" w:rsidRDefault="008A65D0">
            <w:pPr>
              <w:rPr>
                <w:rFonts w:ascii="Aptos" w:hAnsi="Aptos" w:cs="Arial"/>
                <w:sz w:val="22"/>
                <w:szCs w:val="22"/>
              </w:rPr>
            </w:pPr>
            <w:r w:rsidRPr="00E43F09">
              <w:rPr>
                <w:rFonts w:ascii="Aptos" w:eastAsia="Arial" w:hAnsi="Aptos" w:cs="Arial"/>
                <w:sz w:val="22"/>
                <w:szCs w:val="22"/>
                <w:lang w:val="en-US"/>
              </w:rPr>
              <w:t>Lot 1- North Region</w:t>
            </w:r>
          </w:p>
          <w:p w14:paraId="132A2A7E" w14:textId="77777777" w:rsidR="008A65D0" w:rsidRPr="00E43F09" w:rsidRDefault="008A65D0">
            <w:pPr>
              <w:rPr>
                <w:rFonts w:ascii="Aptos" w:hAnsi="Aptos" w:cs="Arial"/>
                <w:sz w:val="22"/>
                <w:szCs w:val="22"/>
              </w:rPr>
            </w:pPr>
          </w:p>
        </w:tc>
        <w:tc>
          <w:tcPr>
            <w:tcW w:w="4890" w:type="dxa"/>
          </w:tcPr>
          <w:p w14:paraId="53ACE7A8" w14:textId="77777777" w:rsidR="008A65D0" w:rsidRPr="00E43F09" w:rsidRDefault="008A65D0">
            <w:pPr>
              <w:rPr>
                <w:rFonts w:ascii="Aptos" w:hAnsi="Aptos" w:cs="Arial"/>
                <w:sz w:val="22"/>
                <w:szCs w:val="22"/>
              </w:rPr>
            </w:pPr>
            <w:r w:rsidRPr="00E43F09">
              <w:rPr>
                <w:rFonts w:ascii="Aptos" w:hAnsi="Aptos" w:cs="Arial"/>
                <w:sz w:val="22"/>
                <w:szCs w:val="22"/>
              </w:rPr>
              <w:t>Ormiston Chadwick Academy – ending 2030</w:t>
            </w:r>
          </w:p>
          <w:p w14:paraId="5270642E" w14:textId="32ADF99B" w:rsidR="008A65D0" w:rsidRPr="00E43F09" w:rsidRDefault="008A65D0" w:rsidP="006154B0">
            <w:pPr>
              <w:rPr>
                <w:rFonts w:ascii="Aptos" w:hAnsi="Aptos" w:cs="Arial"/>
                <w:sz w:val="22"/>
                <w:szCs w:val="22"/>
              </w:rPr>
            </w:pPr>
            <w:r w:rsidRPr="00E43F09">
              <w:rPr>
                <w:rFonts w:ascii="Aptos" w:hAnsi="Aptos" w:cs="Arial"/>
                <w:sz w:val="22"/>
                <w:szCs w:val="22"/>
              </w:rPr>
              <w:t>Ormiston Bolingbroke Academy -ending 2030</w:t>
            </w:r>
          </w:p>
        </w:tc>
      </w:tr>
      <w:tr w:rsidR="00E43F09" w:rsidRPr="00E43F09" w14:paraId="65986F52" w14:textId="77777777" w:rsidTr="006154B0">
        <w:trPr>
          <w:jc w:val="center"/>
        </w:trPr>
        <w:tc>
          <w:tcPr>
            <w:tcW w:w="5039" w:type="dxa"/>
          </w:tcPr>
          <w:p w14:paraId="2EA307C2" w14:textId="6E478500" w:rsidR="008A65D0" w:rsidRPr="00E43F09" w:rsidRDefault="008A65D0">
            <w:pPr>
              <w:rPr>
                <w:rFonts w:ascii="Aptos" w:hAnsi="Aptos" w:cs="Arial"/>
                <w:sz w:val="22"/>
                <w:szCs w:val="22"/>
              </w:rPr>
            </w:pPr>
            <w:r w:rsidRPr="00E43F09">
              <w:rPr>
                <w:rFonts w:ascii="Aptos" w:eastAsia="Arial" w:hAnsi="Aptos" w:cs="Arial"/>
                <w:sz w:val="22"/>
                <w:szCs w:val="22"/>
                <w:lang w:val="en-US"/>
              </w:rPr>
              <w:t xml:space="preserve"> Lot 2</w:t>
            </w:r>
            <w:r w:rsidR="00883B30">
              <w:rPr>
                <w:rFonts w:ascii="Aptos" w:eastAsia="Arial" w:hAnsi="Aptos" w:cs="Arial"/>
                <w:sz w:val="22"/>
                <w:szCs w:val="22"/>
                <w:lang w:val="en-US"/>
              </w:rPr>
              <w:t xml:space="preserve"> </w:t>
            </w:r>
            <w:r w:rsidRPr="00E43F09">
              <w:rPr>
                <w:rFonts w:ascii="Aptos" w:eastAsia="Arial" w:hAnsi="Aptos" w:cs="Arial"/>
                <w:sz w:val="22"/>
                <w:szCs w:val="22"/>
                <w:lang w:val="en-US"/>
              </w:rPr>
              <w:t xml:space="preserve">- </w:t>
            </w:r>
            <w:r w:rsidR="00E43F09" w:rsidRPr="00E43F09">
              <w:rPr>
                <w:rFonts w:ascii="Aptos" w:eastAsia="Arial" w:hAnsi="Aptos" w:cs="Arial"/>
                <w:sz w:val="22"/>
                <w:szCs w:val="22"/>
                <w:lang w:val="en-US"/>
              </w:rPr>
              <w:t>Northeast</w:t>
            </w:r>
            <w:r w:rsidRPr="00E43F09">
              <w:rPr>
                <w:rFonts w:ascii="Aptos" w:eastAsia="Arial" w:hAnsi="Aptos" w:cs="Arial"/>
                <w:sz w:val="22"/>
                <w:szCs w:val="22"/>
                <w:lang w:val="en-US"/>
              </w:rPr>
              <w:t xml:space="preserve"> Region</w:t>
            </w:r>
          </w:p>
        </w:tc>
        <w:tc>
          <w:tcPr>
            <w:tcW w:w="4890" w:type="dxa"/>
          </w:tcPr>
          <w:p w14:paraId="3F6D77C4" w14:textId="75C3012F" w:rsidR="008A65D0" w:rsidRPr="00E43F09" w:rsidRDefault="008A65D0">
            <w:pPr>
              <w:rPr>
                <w:rFonts w:ascii="Aptos" w:hAnsi="Aptos" w:cs="Arial"/>
                <w:sz w:val="22"/>
                <w:szCs w:val="22"/>
              </w:rPr>
            </w:pPr>
            <w:r w:rsidRPr="00E43F09">
              <w:rPr>
                <w:rFonts w:ascii="Aptos" w:eastAsia="Arial" w:hAnsi="Aptos" w:cs="Arial"/>
                <w:sz w:val="22"/>
                <w:szCs w:val="22"/>
                <w:lang w:val="en-US"/>
              </w:rPr>
              <w:t xml:space="preserve">Ormiston Maritime Academy </w:t>
            </w:r>
            <w:r w:rsidR="00E43F09">
              <w:rPr>
                <w:rFonts w:ascii="Aptos" w:eastAsia="Arial" w:hAnsi="Aptos" w:cs="Arial"/>
                <w:sz w:val="22"/>
                <w:szCs w:val="22"/>
                <w:lang w:val="en-US"/>
              </w:rPr>
              <w:t>–</w:t>
            </w:r>
            <w:r w:rsidRPr="00E43F09">
              <w:rPr>
                <w:rFonts w:ascii="Aptos" w:eastAsia="Arial" w:hAnsi="Aptos" w:cs="Arial"/>
                <w:sz w:val="22"/>
                <w:szCs w:val="22"/>
                <w:lang w:val="en-US"/>
              </w:rPr>
              <w:t xml:space="preserve"> ending</w:t>
            </w:r>
            <w:r w:rsidR="00E43F09">
              <w:rPr>
                <w:rFonts w:ascii="Aptos" w:eastAsia="Arial" w:hAnsi="Aptos" w:cs="Arial"/>
                <w:sz w:val="22"/>
                <w:szCs w:val="22"/>
                <w:lang w:val="en-US"/>
              </w:rPr>
              <w:t xml:space="preserve"> </w:t>
            </w:r>
            <w:r w:rsidRPr="00E43F09">
              <w:rPr>
                <w:rFonts w:ascii="Aptos" w:eastAsia="Arial" w:hAnsi="Aptos" w:cs="Arial"/>
                <w:sz w:val="22"/>
                <w:szCs w:val="22"/>
                <w:lang w:val="en-US"/>
              </w:rPr>
              <w:t>2030</w:t>
            </w:r>
          </w:p>
        </w:tc>
      </w:tr>
      <w:tr w:rsidR="00E43F09" w:rsidRPr="00E43F09" w14:paraId="46195B0A" w14:textId="77777777" w:rsidTr="006154B0">
        <w:trPr>
          <w:jc w:val="center"/>
        </w:trPr>
        <w:tc>
          <w:tcPr>
            <w:tcW w:w="5039" w:type="dxa"/>
          </w:tcPr>
          <w:p w14:paraId="23F383D1" w14:textId="77777777" w:rsidR="008A65D0" w:rsidRPr="00E43F09" w:rsidRDefault="008A65D0">
            <w:pPr>
              <w:rPr>
                <w:rFonts w:ascii="Aptos" w:eastAsia="Arial" w:hAnsi="Aptos" w:cs="Arial"/>
                <w:sz w:val="22"/>
                <w:szCs w:val="22"/>
                <w:lang w:val="en-US"/>
              </w:rPr>
            </w:pPr>
            <w:r w:rsidRPr="00E43F09">
              <w:rPr>
                <w:rFonts w:ascii="Aptos" w:eastAsia="Arial" w:hAnsi="Aptos" w:cs="Arial"/>
                <w:sz w:val="22"/>
                <w:szCs w:val="22"/>
                <w:lang w:val="en-US"/>
              </w:rPr>
              <w:t>Lot 3 – Midlands Region</w:t>
            </w:r>
          </w:p>
        </w:tc>
        <w:tc>
          <w:tcPr>
            <w:tcW w:w="4890" w:type="dxa"/>
          </w:tcPr>
          <w:p w14:paraId="5014B966" w14:textId="77777777" w:rsidR="008A65D0" w:rsidRPr="00E43F09" w:rsidRDefault="008A65D0">
            <w:pPr>
              <w:rPr>
                <w:rFonts w:ascii="Aptos" w:eastAsia="Arial" w:hAnsi="Aptos" w:cs="Arial"/>
                <w:sz w:val="22"/>
                <w:szCs w:val="22"/>
                <w:lang w:val="en-US"/>
              </w:rPr>
            </w:pPr>
            <w:r w:rsidRPr="00E43F09">
              <w:rPr>
                <w:rFonts w:ascii="Aptos" w:eastAsia="Arial" w:hAnsi="Aptos" w:cs="Arial"/>
                <w:sz w:val="22"/>
                <w:szCs w:val="22"/>
                <w:lang w:val="en-US"/>
              </w:rPr>
              <w:t>Ormiston Forge Academy – ending 2030</w:t>
            </w:r>
          </w:p>
        </w:tc>
      </w:tr>
      <w:tr w:rsidR="00E43F09" w:rsidRPr="00E43F09" w14:paraId="399B0397" w14:textId="77777777" w:rsidTr="006154B0">
        <w:trPr>
          <w:jc w:val="center"/>
        </w:trPr>
        <w:tc>
          <w:tcPr>
            <w:tcW w:w="5039" w:type="dxa"/>
          </w:tcPr>
          <w:p w14:paraId="55C6786E" w14:textId="77777777" w:rsidR="008A65D0" w:rsidRPr="00E43F09" w:rsidRDefault="008A65D0">
            <w:pPr>
              <w:rPr>
                <w:rFonts w:ascii="Aptos" w:eastAsia="Arial" w:hAnsi="Aptos" w:cs="Arial"/>
                <w:sz w:val="22"/>
                <w:szCs w:val="22"/>
                <w:lang w:val="en-US"/>
              </w:rPr>
            </w:pPr>
            <w:r w:rsidRPr="00E43F09">
              <w:rPr>
                <w:rFonts w:ascii="Aptos" w:eastAsia="Arial" w:hAnsi="Aptos" w:cs="Arial"/>
                <w:sz w:val="22"/>
                <w:szCs w:val="22"/>
                <w:lang w:val="en-US"/>
              </w:rPr>
              <w:t xml:space="preserve">Lot 4 – East Region </w:t>
            </w:r>
          </w:p>
        </w:tc>
        <w:tc>
          <w:tcPr>
            <w:tcW w:w="4890" w:type="dxa"/>
          </w:tcPr>
          <w:p w14:paraId="3A070015" w14:textId="77777777" w:rsidR="008A65D0" w:rsidRPr="00E43F09" w:rsidRDefault="008A65D0">
            <w:pPr>
              <w:rPr>
                <w:rFonts w:ascii="Aptos" w:eastAsia="Arial" w:hAnsi="Aptos" w:cs="Arial"/>
                <w:sz w:val="22"/>
                <w:szCs w:val="22"/>
                <w:lang w:val="en-US"/>
              </w:rPr>
            </w:pPr>
            <w:r w:rsidRPr="00E43F09">
              <w:rPr>
                <w:rFonts w:ascii="Aptos" w:eastAsia="Arial" w:hAnsi="Aptos" w:cs="Arial"/>
                <w:sz w:val="22"/>
                <w:szCs w:val="22"/>
                <w:lang w:val="en-US"/>
              </w:rPr>
              <w:t>Ormiston Broadland High Academy – ending 2028</w:t>
            </w:r>
          </w:p>
        </w:tc>
      </w:tr>
    </w:tbl>
    <w:p w14:paraId="2C39C6AF" w14:textId="77777777" w:rsidR="008A23CF" w:rsidRDefault="008A23CF" w:rsidP="008A65D0">
      <w:pPr>
        <w:rPr>
          <w:rFonts w:eastAsia="Arial" w:cs="Arial"/>
          <w:lang w:val="en-US"/>
        </w:rPr>
      </w:pPr>
    </w:p>
    <w:p w14:paraId="5C366CF6" w14:textId="0AB20FD6" w:rsidR="008A65D0" w:rsidRPr="008A65D0" w:rsidRDefault="008A65D0" w:rsidP="008A65D0">
      <w:pPr>
        <w:rPr>
          <w:rFonts w:ascii="Aptos" w:hAnsi="Aptos" w:cs="Arial"/>
          <w:color w:val="0070C0"/>
        </w:rPr>
      </w:pPr>
      <w:r w:rsidRPr="00664736">
        <w:rPr>
          <w:rFonts w:ascii="Aptos" w:eastAsia="Arial" w:hAnsi="Aptos" w:cs="Arial"/>
          <w:lang w:val="en-US"/>
        </w:rPr>
        <w:t>The below table details the other current OAT Academies (</w:t>
      </w:r>
      <w:r w:rsidR="00664736">
        <w:rPr>
          <w:rFonts w:ascii="Aptos" w:eastAsia="Arial" w:hAnsi="Aptos" w:cs="Arial"/>
          <w:lang w:val="en-US"/>
        </w:rPr>
        <w:t>at the time of publication)</w:t>
      </w:r>
      <w:r w:rsidRPr="00664736">
        <w:rPr>
          <w:rFonts w:ascii="Aptos" w:eastAsia="Arial" w:hAnsi="Aptos" w:cs="Arial"/>
          <w:lang w:val="en-US"/>
        </w:rPr>
        <w:t xml:space="preserve"> who may wish to consider the OAT Catering procurement framework within the </w:t>
      </w:r>
      <w:r w:rsidR="00427122">
        <w:rPr>
          <w:rFonts w:ascii="Aptos" w:eastAsia="Arial" w:hAnsi="Aptos" w:cs="Arial"/>
          <w:lang w:val="en-US"/>
        </w:rPr>
        <w:t xml:space="preserve">proposed </w:t>
      </w:r>
      <w:r w:rsidRPr="00664736">
        <w:rPr>
          <w:rFonts w:ascii="Aptos" w:eastAsia="Arial" w:hAnsi="Aptos" w:cs="Arial"/>
          <w:lang w:val="en-US"/>
        </w:rPr>
        <w:t>framework period.</w:t>
      </w:r>
      <w:r w:rsidRPr="008A65D0">
        <w:rPr>
          <w:rFonts w:ascii="Aptos" w:eastAsia="Arial" w:hAnsi="Aptos" w:cs="Arial"/>
          <w:color w:val="0070C0"/>
          <w:lang w:val="en-US"/>
        </w:rPr>
        <w:t xml:space="preserve"> </w:t>
      </w:r>
    </w:p>
    <w:tbl>
      <w:tblPr>
        <w:tblStyle w:val="TableGrid"/>
        <w:tblW w:w="5340" w:type="pct"/>
        <w:jc w:val="center"/>
        <w:tblInd w:w="0" w:type="dxa"/>
        <w:tblLook w:val="06A0" w:firstRow="1" w:lastRow="0" w:firstColumn="1" w:lastColumn="0" w:noHBand="1" w:noVBand="1"/>
      </w:tblPr>
      <w:tblGrid>
        <w:gridCol w:w="5125"/>
        <w:gridCol w:w="4861"/>
      </w:tblGrid>
      <w:tr w:rsidR="006154B0" w:rsidRPr="004F7BFF" w14:paraId="641EEF27" w14:textId="77777777" w:rsidTr="00883B30">
        <w:trPr>
          <w:cnfStyle w:val="100000000000" w:firstRow="1" w:lastRow="0" w:firstColumn="0" w:lastColumn="0" w:oddVBand="0" w:evenVBand="0" w:oddHBand="0" w:evenHBand="0" w:firstRowFirstColumn="0" w:firstRowLastColumn="0" w:lastRowFirstColumn="0" w:lastRowLastColumn="0"/>
          <w:jc w:val="center"/>
        </w:trPr>
        <w:tc>
          <w:tcPr>
            <w:tcW w:w="2566" w:type="pct"/>
          </w:tcPr>
          <w:p w14:paraId="596824CD" w14:textId="31D6643A" w:rsidR="006154B0" w:rsidRPr="004F7BFF" w:rsidRDefault="006154B0" w:rsidP="003C1EF5">
            <w:pPr>
              <w:jc w:val="center"/>
              <w:rPr>
                <w:rFonts w:ascii="Aptos" w:hAnsi="Aptos" w:cs="Arial"/>
                <w:szCs w:val="22"/>
              </w:rPr>
            </w:pPr>
            <w:r>
              <w:rPr>
                <w:rFonts w:ascii="Aptos" w:eastAsia="Arial" w:hAnsi="Aptos" w:cs="Arial"/>
                <w:b/>
                <w:bCs/>
                <w:szCs w:val="22"/>
              </w:rPr>
              <w:t>Geographical Lot</w:t>
            </w:r>
          </w:p>
        </w:tc>
        <w:tc>
          <w:tcPr>
            <w:tcW w:w="2434" w:type="pct"/>
          </w:tcPr>
          <w:p w14:paraId="0B58AE2F" w14:textId="77777777" w:rsidR="006154B0" w:rsidRPr="004F7BFF" w:rsidRDefault="006154B0" w:rsidP="003C1EF5">
            <w:pPr>
              <w:jc w:val="center"/>
              <w:rPr>
                <w:rFonts w:ascii="Aptos" w:hAnsi="Aptos" w:cs="Arial"/>
                <w:szCs w:val="22"/>
              </w:rPr>
            </w:pPr>
            <w:r w:rsidRPr="004F7BFF">
              <w:rPr>
                <w:rFonts w:ascii="Aptos" w:eastAsia="Arial" w:hAnsi="Aptos" w:cs="Arial"/>
                <w:b/>
                <w:bCs/>
                <w:szCs w:val="22"/>
              </w:rPr>
              <w:t>Academy</w:t>
            </w:r>
          </w:p>
        </w:tc>
      </w:tr>
      <w:tr w:rsidR="006154B0" w:rsidRPr="004F7BFF" w14:paraId="04E21E3F" w14:textId="77777777" w:rsidTr="00883B30">
        <w:trPr>
          <w:jc w:val="center"/>
        </w:trPr>
        <w:tc>
          <w:tcPr>
            <w:tcW w:w="2566" w:type="pct"/>
          </w:tcPr>
          <w:p w14:paraId="7F13E073" w14:textId="162F9D33" w:rsidR="006154B0" w:rsidRPr="004F7BFF" w:rsidRDefault="006154B0" w:rsidP="00883B30">
            <w:pPr>
              <w:rPr>
                <w:rFonts w:ascii="Aptos" w:hAnsi="Aptos" w:cs="Arial"/>
                <w:sz w:val="22"/>
                <w:szCs w:val="22"/>
              </w:rPr>
            </w:pPr>
            <w:r w:rsidRPr="006770AE">
              <w:rPr>
                <w:rFonts w:ascii="Aptos" w:eastAsia="Arial" w:hAnsi="Aptos" w:cs="Arial"/>
                <w:sz w:val="22"/>
                <w:szCs w:val="22"/>
                <w:lang w:val="en-US"/>
              </w:rPr>
              <w:t>Lot 1- North Region</w:t>
            </w:r>
          </w:p>
        </w:tc>
        <w:tc>
          <w:tcPr>
            <w:tcW w:w="2434" w:type="pct"/>
          </w:tcPr>
          <w:p w14:paraId="38969BC1"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Ormiston Horizon Academy</w:t>
            </w:r>
          </w:p>
        </w:tc>
      </w:tr>
      <w:tr w:rsidR="006154B0" w:rsidRPr="004F7BFF" w14:paraId="41C0C787" w14:textId="77777777" w:rsidTr="00883B30">
        <w:trPr>
          <w:jc w:val="center"/>
        </w:trPr>
        <w:tc>
          <w:tcPr>
            <w:tcW w:w="2566" w:type="pct"/>
          </w:tcPr>
          <w:p w14:paraId="64F66EE4" w14:textId="2AE63F62" w:rsidR="006154B0" w:rsidRPr="004F7BFF" w:rsidRDefault="006154B0" w:rsidP="00883B30">
            <w:pPr>
              <w:rPr>
                <w:rFonts w:ascii="Aptos" w:hAnsi="Aptos" w:cs="Arial"/>
                <w:sz w:val="22"/>
                <w:szCs w:val="22"/>
              </w:rPr>
            </w:pPr>
            <w:r w:rsidRPr="006770AE">
              <w:rPr>
                <w:rFonts w:ascii="Aptos" w:eastAsia="Arial" w:hAnsi="Aptos" w:cs="Arial"/>
                <w:sz w:val="22"/>
                <w:szCs w:val="22"/>
                <w:lang w:val="en-US"/>
              </w:rPr>
              <w:t>Lot 1- North Region</w:t>
            </w:r>
          </w:p>
        </w:tc>
        <w:tc>
          <w:tcPr>
            <w:tcW w:w="2434" w:type="pct"/>
          </w:tcPr>
          <w:p w14:paraId="5D091D95"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Sandymoor Ormiston Academy</w:t>
            </w:r>
          </w:p>
        </w:tc>
      </w:tr>
      <w:tr w:rsidR="006154B0" w:rsidRPr="004F7BFF" w14:paraId="2C2163B7" w14:textId="77777777" w:rsidTr="00883B30">
        <w:trPr>
          <w:jc w:val="center"/>
        </w:trPr>
        <w:tc>
          <w:tcPr>
            <w:tcW w:w="2566" w:type="pct"/>
          </w:tcPr>
          <w:p w14:paraId="4B0AB76E" w14:textId="7CAB57D1" w:rsidR="006154B0" w:rsidRPr="004F7BFF" w:rsidRDefault="006154B0" w:rsidP="00883B30">
            <w:pPr>
              <w:rPr>
                <w:rFonts w:ascii="Aptos" w:hAnsi="Aptos" w:cs="Arial"/>
                <w:sz w:val="22"/>
                <w:szCs w:val="22"/>
              </w:rPr>
            </w:pPr>
            <w:r w:rsidRPr="00946E2A">
              <w:rPr>
                <w:rFonts w:ascii="Aptos" w:eastAsia="Arial" w:hAnsi="Aptos" w:cs="Arial"/>
                <w:sz w:val="22"/>
                <w:szCs w:val="22"/>
                <w:lang w:val="en-US"/>
              </w:rPr>
              <w:t>Lot 3 – Midlands Region</w:t>
            </w:r>
          </w:p>
        </w:tc>
        <w:tc>
          <w:tcPr>
            <w:tcW w:w="2434" w:type="pct"/>
          </w:tcPr>
          <w:p w14:paraId="752BCB41"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George Salter Academy</w:t>
            </w:r>
          </w:p>
        </w:tc>
      </w:tr>
      <w:tr w:rsidR="006154B0" w:rsidRPr="004F7BFF" w14:paraId="0F0977B7" w14:textId="77777777" w:rsidTr="00883B30">
        <w:trPr>
          <w:jc w:val="center"/>
        </w:trPr>
        <w:tc>
          <w:tcPr>
            <w:tcW w:w="2566" w:type="pct"/>
          </w:tcPr>
          <w:p w14:paraId="1C10489A" w14:textId="56709B76" w:rsidR="006154B0" w:rsidRPr="004F7BFF" w:rsidRDefault="006154B0" w:rsidP="00883B30">
            <w:pPr>
              <w:rPr>
                <w:rFonts w:ascii="Aptos" w:hAnsi="Aptos" w:cs="Arial"/>
                <w:sz w:val="22"/>
                <w:szCs w:val="22"/>
              </w:rPr>
            </w:pPr>
            <w:r w:rsidRPr="00946E2A">
              <w:rPr>
                <w:rFonts w:ascii="Aptos" w:eastAsia="Arial" w:hAnsi="Aptos" w:cs="Arial"/>
                <w:sz w:val="22"/>
                <w:szCs w:val="22"/>
                <w:lang w:val="en-US"/>
              </w:rPr>
              <w:t>Lot 3 – Midlands Region</w:t>
            </w:r>
          </w:p>
        </w:tc>
        <w:tc>
          <w:tcPr>
            <w:tcW w:w="2434" w:type="pct"/>
          </w:tcPr>
          <w:p w14:paraId="37BDFFC2"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Ormiston Sandwell Community Academy</w:t>
            </w:r>
          </w:p>
        </w:tc>
      </w:tr>
      <w:tr w:rsidR="006154B0" w:rsidRPr="004F7BFF" w14:paraId="4288A556" w14:textId="77777777" w:rsidTr="00883B30">
        <w:trPr>
          <w:jc w:val="center"/>
        </w:trPr>
        <w:tc>
          <w:tcPr>
            <w:tcW w:w="2566" w:type="pct"/>
          </w:tcPr>
          <w:p w14:paraId="04EF94EB" w14:textId="223138F9" w:rsidR="006154B0" w:rsidRPr="004F7BFF" w:rsidRDefault="006154B0" w:rsidP="00883B30">
            <w:pPr>
              <w:rPr>
                <w:rFonts w:ascii="Aptos" w:hAnsi="Aptos" w:cs="Arial"/>
                <w:sz w:val="22"/>
                <w:szCs w:val="22"/>
              </w:rPr>
            </w:pPr>
            <w:r w:rsidRPr="00946E2A">
              <w:rPr>
                <w:rFonts w:ascii="Aptos" w:eastAsia="Arial" w:hAnsi="Aptos" w:cs="Arial"/>
                <w:sz w:val="22"/>
                <w:szCs w:val="22"/>
                <w:lang w:val="en-US"/>
              </w:rPr>
              <w:t>Lot 3 – Midlands Region</w:t>
            </w:r>
          </w:p>
        </w:tc>
        <w:tc>
          <w:tcPr>
            <w:tcW w:w="2434" w:type="pct"/>
          </w:tcPr>
          <w:p w14:paraId="7630A075"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Ormiston Shelfield Community Academy</w:t>
            </w:r>
          </w:p>
        </w:tc>
      </w:tr>
      <w:tr w:rsidR="006154B0" w:rsidRPr="004F7BFF" w14:paraId="3339A258" w14:textId="77777777" w:rsidTr="00883B30">
        <w:trPr>
          <w:jc w:val="center"/>
        </w:trPr>
        <w:tc>
          <w:tcPr>
            <w:tcW w:w="2566" w:type="pct"/>
          </w:tcPr>
          <w:p w14:paraId="7D5EC6A5" w14:textId="62237677" w:rsidR="006154B0" w:rsidRPr="004F7BFF" w:rsidRDefault="006154B0" w:rsidP="00883B30">
            <w:pPr>
              <w:rPr>
                <w:rFonts w:ascii="Aptos" w:hAnsi="Aptos" w:cs="Arial"/>
                <w:sz w:val="22"/>
                <w:szCs w:val="22"/>
              </w:rPr>
            </w:pPr>
            <w:r w:rsidRPr="00946E2A">
              <w:rPr>
                <w:rFonts w:ascii="Aptos" w:eastAsia="Arial" w:hAnsi="Aptos" w:cs="Arial"/>
                <w:sz w:val="22"/>
                <w:szCs w:val="22"/>
                <w:lang w:val="en-US"/>
              </w:rPr>
              <w:t>Lot 3 – Midlands Region</w:t>
            </w:r>
          </w:p>
        </w:tc>
        <w:tc>
          <w:tcPr>
            <w:tcW w:w="2434" w:type="pct"/>
          </w:tcPr>
          <w:p w14:paraId="37F7A9CB"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Ormiston SWB Academy</w:t>
            </w:r>
          </w:p>
        </w:tc>
      </w:tr>
      <w:tr w:rsidR="006154B0" w:rsidRPr="004F7BFF" w14:paraId="7AAE62B7" w14:textId="77777777" w:rsidTr="00883B30">
        <w:trPr>
          <w:jc w:val="center"/>
        </w:trPr>
        <w:tc>
          <w:tcPr>
            <w:tcW w:w="2566" w:type="pct"/>
          </w:tcPr>
          <w:p w14:paraId="72B4BAAC" w14:textId="4C3B39A5" w:rsidR="006154B0" w:rsidRPr="004F7BFF" w:rsidRDefault="006154B0" w:rsidP="00883B30">
            <w:pPr>
              <w:rPr>
                <w:rFonts w:ascii="Aptos" w:hAnsi="Aptos" w:cs="Arial"/>
                <w:sz w:val="22"/>
                <w:szCs w:val="22"/>
              </w:rPr>
            </w:pPr>
            <w:r w:rsidRPr="00946E2A">
              <w:rPr>
                <w:rFonts w:ascii="Aptos" w:eastAsia="Arial" w:hAnsi="Aptos" w:cs="Arial"/>
                <w:sz w:val="22"/>
                <w:szCs w:val="22"/>
                <w:lang w:val="en-US"/>
              </w:rPr>
              <w:t>Lot 3 – Midlands Region</w:t>
            </w:r>
          </w:p>
        </w:tc>
        <w:tc>
          <w:tcPr>
            <w:tcW w:w="2434" w:type="pct"/>
          </w:tcPr>
          <w:p w14:paraId="1A6A4A3A"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Wodensborough Ormiston Academy</w:t>
            </w:r>
          </w:p>
        </w:tc>
      </w:tr>
      <w:tr w:rsidR="006154B0" w:rsidRPr="004F7BFF" w14:paraId="37476185" w14:textId="77777777" w:rsidTr="00883B30">
        <w:trPr>
          <w:jc w:val="center"/>
        </w:trPr>
        <w:tc>
          <w:tcPr>
            <w:tcW w:w="2566" w:type="pct"/>
          </w:tcPr>
          <w:p w14:paraId="289ED3D6" w14:textId="28CA34B7" w:rsidR="006154B0" w:rsidRPr="004F7BFF" w:rsidRDefault="006154B0" w:rsidP="00883B30">
            <w:pPr>
              <w:rPr>
                <w:rFonts w:ascii="Aptos" w:hAnsi="Aptos" w:cs="Arial"/>
                <w:sz w:val="22"/>
                <w:szCs w:val="22"/>
              </w:rPr>
            </w:pPr>
            <w:r w:rsidRPr="00946E2A">
              <w:rPr>
                <w:rFonts w:ascii="Aptos" w:eastAsia="Arial" w:hAnsi="Aptos" w:cs="Arial"/>
                <w:sz w:val="22"/>
                <w:szCs w:val="22"/>
                <w:lang w:val="en-US"/>
              </w:rPr>
              <w:t>Lot 3 – Midlands Region</w:t>
            </w:r>
          </w:p>
        </w:tc>
        <w:tc>
          <w:tcPr>
            <w:tcW w:w="2434" w:type="pct"/>
          </w:tcPr>
          <w:p w14:paraId="70318850"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Ormiston Meadows Academy</w:t>
            </w:r>
          </w:p>
        </w:tc>
      </w:tr>
      <w:tr w:rsidR="006154B0" w:rsidRPr="004F7BFF" w14:paraId="5DBE96F7" w14:textId="77777777" w:rsidTr="00883B30">
        <w:trPr>
          <w:jc w:val="center"/>
        </w:trPr>
        <w:tc>
          <w:tcPr>
            <w:tcW w:w="2566" w:type="pct"/>
          </w:tcPr>
          <w:p w14:paraId="4AA4749A" w14:textId="0AC1A5F2" w:rsidR="006154B0" w:rsidRPr="004F7BFF" w:rsidRDefault="006154B0" w:rsidP="00883B30">
            <w:pPr>
              <w:rPr>
                <w:rFonts w:ascii="Aptos" w:hAnsi="Aptos" w:cs="Arial"/>
                <w:sz w:val="22"/>
                <w:szCs w:val="22"/>
              </w:rPr>
            </w:pPr>
            <w:r w:rsidRPr="00946E2A">
              <w:rPr>
                <w:rFonts w:ascii="Aptos" w:eastAsia="Arial" w:hAnsi="Aptos" w:cs="Arial"/>
                <w:sz w:val="22"/>
                <w:szCs w:val="22"/>
                <w:lang w:val="en-US"/>
              </w:rPr>
              <w:t>Lot 3 – Midlands Region</w:t>
            </w:r>
          </w:p>
        </w:tc>
        <w:tc>
          <w:tcPr>
            <w:tcW w:w="2434" w:type="pct"/>
          </w:tcPr>
          <w:p w14:paraId="221A15AF"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Ormiston Bushfield Academy</w:t>
            </w:r>
          </w:p>
        </w:tc>
      </w:tr>
      <w:tr w:rsidR="006154B0" w:rsidRPr="004F7BFF" w14:paraId="68F19F38" w14:textId="77777777" w:rsidTr="00883B30">
        <w:trPr>
          <w:jc w:val="center"/>
        </w:trPr>
        <w:tc>
          <w:tcPr>
            <w:tcW w:w="2566" w:type="pct"/>
          </w:tcPr>
          <w:p w14:paraId="1EBFE712" w14:textId="1E0D3015" w:rsidR="006154B0" w:rsidRPr="004F7BFF" w:rsidRDefault="006154B0" w:rsidP="00883B30">
            <w:pPr>
              <w:rPr>
                <w:rFonts w:ascii="Aptos" w:hAnsi="Aptos" w:cs="Arial"/>
                <w:sz w:val="22"/>
                <w:szCs w:val="22"/>
              </w:rPr>
            </w:pPr>
            <w:r w:rsidRPr="002A6557">
              <w:rPr>
                <w:rFonts w:ascii="Aptos" w:eastAsia="Arial" w:hAnsi="Aptos" w:cs="Arial"/>
                <w:sz w:val="22"/>
                <w:szCs w:val="22"/>
                <w:lang w:val="en-US"/>
              </w:rPr>
              <w:lastRenderedPageBreak/>
              <w:t xml:space="preserve">Lot 4 – East Region </w:t>
            </w:r>
          </w:p>
        </w:tc>
        <w:tc>
          <w:tcPr>
            <w:tcW w:w="2434" w:type="pct"/>
          </w:tcPr>
          <w:p w14:paraId="431071FC"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City Of Norwich School, An Ormiston Academy</w:t>
            </w:r>
          </w:p>
        </w:tc>
      </w:tr>
      <w:tr w:rsidR="006154B0" w:rsidRPr="004F7BFF" w14:paraId="7370E48A" w14:textId="77777777" w:rsidTr="00883B30">
        <w:trPr>
          <w:jc w:val="center"/>
        </w:trPr>
        <w:tc>
          <w:tcPr>
            <w:tcW w:w="2566" w:type="pct"/>
          </w:tcPr>
          <w:p w14:paraId="063FC9E6" w14:textId="71FB1E23" w:rsidR="006154B0" w:rsidRPr="004F7BFF" w:rsidRDefault="006154B0" w:rsidP="00883B30">
            <w:pPr>
              <w:rPr>
                <w:rFonts w:ascii="Aptos" w:hAnsi="Aptos" w:cs="Arial"/>
                <w:sz w:val="22"/>
                <w:szCs w:val="22"/>
              </w:rPr>
            </w:pPr>
            <w:r w:rsidRPr="002A6557">
              <w:rPr>
                <w:rFonts w:ascii="Aptos" w:eastAsia="Arial" w:hAnsi="Aptos" w:cs="Arial"/>
                <w:sz w:val="22"/>
                <w:szCs w:val="22"/>
                <w:lang w:val="en-US"/>
              </w:rPr>
              <w:t xml:space="preserve">Lot 4 – East Region </w:t>
            </w:r>
          </w:p>
        </w:tc>
        <w:tc>
          <w:tcPr>
            <w:tcW w:w="2434" w:type="pct"/>
          </w:tcPr>
          <w:p w14:paraId="58313952"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Cliff Park Ormiston Academy</w:t>
            </w:r>
          </w:p>
        </w:tc>
      </w:tr>
      <w:tr w:rsidR="006154B0" w:rsidRPr="004F7BFF" w14:paraId="4F6A1EB3" w14:textId="77777777" w:rsidTr="00883B30">
        <w:trPr>
          <w:jc w:val="center"/>
        </w:trPr>
        <w:tc>
          <w:tcPr>
            <w:tcW w:w="2566" w:type="pct"/>
          </w:tcPr>
          <w:p w14:paraId="0C3844FA" w14:textId="6A35AA0C" w:rsidR="006154B0" w:rsidRPr="004F7BFF" w:rsidRDefault="006154B0" w:rsidP="00883B30">
            <w:pPr>
              <w:rPr>
                <w:rFonts w:ascii="Aptos" w:hAnsi="Aptos" w:cs="Arial"/>
                <w:sz w:val="22"/>
                <w:szCs w:val="22"/>
              </w:rPr>
            </w:pPr>
            <w:r w:rsidRPr="002A6557">
              <w:rPr>
                <w:rFonts w:ascii="Aptos" w:eastAsia="Arial" w:hAnsi="Aptos" w:cs="Arial"/>
                <w:sz w:val="22"/>
                <w:szCs w:val="22"/>
                <w:lang w:val="en-US"/>
              </w:rPr>
              <w:t xml:space="preserve">Lot 4 – East Region </w:t>
            </w:r>
          </w:p>
        </w:tc>
        <w:tc>
          <w:tcPr>
            <w:tcW w:w="2434" w:type="pct"/>
          </w:tcPr>
          <w:p w14:paraId="65BAEEDA"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Ormiston Denes Academy</w:t>
            </w:r>
          </w:p>
        </w:tc>
      </w:tr>
      <w:tr w:rsidR="006154B0" w:rsidRPr="004F7BFF" w14:paraId="2A8B53B0" w14:textId="77777777" w:rsidTr="00883B30">
        <w:trPr>
          <w:jc w:val="center"/>
        </w:trPr>
        <w:tc>
          <w:tcPr>
            <w:tcW w:w="2566" w:type="pct"/>
          </w:tcPr>
          <w:p w14:paraId="72042FE5" w14:textId="79EDA1CD" w:rsidR="006154B0" w:rsidRPr="004F7BFF" w:rsidRDefault="006154B0" w:rsidP="00883B30">
            <w:pPr>
              <w:rPr>
                <w:rFonts w:ascii="Aptos" w:hAnsi="Aptos" w:cs="Arial"/>
                <w:sz w:val="22"/>
                <w:szCs w:val="22"/>
              </w:rPr>
            </w:pPr>
            <w:r w:rsidRPr="002A6557">
              <w:rPr>
                <w:rFonts w:ascii="Aptos" w:eastAsia="Arial" w:hAnsi="Aptos" w:cs="Arial"/>
                <w:sz w:val="22"/>
                <w:szCs w:val="22"/>
                <w:lang w:val="en-US"/>
              </w:rPr>
              <w:t xml:space="preserve">Lot 4 – East Region </w:t>
            </w:r>
          </w:p>
        </w:tc>
        <w:tc>
          <w:tcPr>
            <w:tcW w:w="2434" w:type="pct"/>
          </w:tcPr>
          <w:p w14:paraId="25AE4B4B"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Flegg High Ormiston Academy</w:t>
            </w:r>
          </w:p>
        </w:tc>
      </w:tr>
      <w:tr w:rsidR="006154B0" w:rsidRPr="004F7BFF" w14:paraId="755D84D9" w14:textId="77777777" w:rsidTr="00883B30">
        <w:trPr>
          <w:jc w:val="center"/>
        </w:trPr>
        <w:tc>
          <w:tcPr>
            <w:tcW w:w="2566" w:type="pct"/>
          </w:tcPr>
          <w:p w14:paraId="7B6625A5" w14:textId="40C36B4A" w:rsidR="006154B0" w:rsidRPr="004F7BFF" w:rsidRDefault="006154B0" w:rsidP="00883B30">
            <w:pPr>
              <w:rPr>
                <w:rFonts w:ascii="Aptos" w:hAnsi="Aptos" w:cs="Arial"/>
                <w:sz w:val="22"/>
                <w:szCs w:val="22"/>
              </w:rPr>
            </w:pPr>
            <w:r w:rsidRPr="002A6557">
              <w:rPr>
                <w:rFonts w:ascii="Aptos" w:eastAsia="Arial" w:hAnsi="Aptos" w:cs="Arial"/>
                <w:sz w:val="22"/>
                <w:szCs w:val="22"/>
                <w:lang w:val="en-US"/>
              </w:rPr>
              <w:t xml:space="preserve">Lot 4 – East Region </w:t>
            </w:r>
          </w:p>
        </w:tc>
        <w:tc>
          <w:tcPr>
            <w:tcW w:w="2434" w:type="pct"/>
          </w:tcPr>
          <w:p w14:paraId="18BF138B"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Ormiston Sudbury Academy</w:t>
            </w:r>
          </w:p>
        </w:tc>
      </w:tr>
      <w:tr w:rsidR="006154B0" w:rsidRPr="004F7BFF" w14:paraId="28E49283" w14:textId="77777777" w:rsidTr="00883B30">
        <w:trPr>
          <w:jc w:val="center"/>
        </w:trPr>
        <w:tc>
          <w:tcPr>
            <w:tcW w:w="2566" w:type="pct"/>
          </w:tcPr>
          <w:p w14:paraId="68364B99" w14:textId="738CED86" w:rsidR="006154B0" w:rsidRPr="004F7BFF" w:rsidRDefault="006154B0" w:rsidP="00883B30">
            <w:pPr>
              <w:rPr>
                <w:rFonts w:ascii="Aptos" w:hAnsi="Aptos" w:cs="Arial"/>
                <w:sz w:val="22"/>
                <w:szCs w:val="22"/>
              </w:rPr>
            </w:pPr>
            <w:r w:rsidRPr="002A6557">
              <w:rPr>
                <w:rFonts w:ascii="Aptos" w:eastAsia="Arial" w:hAnsi="Aptos" w:cs="Arial"/>
                <w:sz w:val="22"/>
                <w:szCs w:val="22"/>
                <w:lang w:val="en-US"/>
              </w:rPr>
              <w:t xml:space="preserve">Lot 4 – East Region </w:t>
            </w:r>
          </w:p>
        </w:tc>
        <w:tc>
          <w:tcPr>
            <w:tcW w:w="2434" w:type="pct"/>
          </w:tcPr>
          <w:p w14:paraId="05FF296B"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Ormiston Venture Academy</w:t>
            </w:r>
          </w:p>
        </w:tc>
      </w:tr>
      <w:tr w:rsidR="006154B0" w:rsidRPr="004F7BFF" w14:paraId="0F20444D" w14:textId="77777777" w:rsidTr="00883B30">
        <w:trPr>
          <w:jc w:val="center"/>
        </w:trPr>
        <w:tc>
          <w:tcPr>
            <w:tcW w:w="2566" w:type="pct"/>
          </w:tcPr>
          <w:p w14:paraId="10670A68" w14:textId="76B5E9AD" w:rsidR="006154B0" w:rsidRPr="004F7BFF" w:rsidRDefault="006154B0" w:rsidP="00883B30">
            <w:pPr>
              <w:rPr>
                <w:rFonts w:ascii="Aptos" w:hAnsi="Aptos" w:cs="Arial"/>
                <w:sz w:val="22"/>
                <w:szCs w:val="22"/>
              </w:rPr>
            </w:pPr>
            <w:r w:rsidRPr="002A6557">
              <w:rPr>
                <w:rFonts w:ascii="Aptos" w:eastAsia="Arial" w:hAnsi="Aptos" w:cs="Arial"/>
                <w:sz w:val="22"/>
                <w:szCs w:val="22"/>
                <w:lang w:val="en-US"/>
              </w:rPr>
              <w:t xml:space="preserve">Lot 4 – East Region </w:t>
            </w:r>
          </w:p>
        </w:tc>
        <w:tc>
          <w:tcPr>
            <w:tcW w:w="2434" w:type="pct"/>
          </w:tcPr>
          <w:p w14:paraId="5C06E230" w14:textId="77777777" w:rsidR="006154B0" w:rsidRPr="004F7BFF" w:rsidRDefault="006154B0" w:rsidP="00B6650F">
            <w:pPr>
              <w:rPr>
                <w:rFonts w:ascii="Aptos" w:hAnsi="Aptos" w:cs="Arial"/>
                <w:sz w:val="22"/>
                <w:szCs w:val="22"/>
              </w:rPr>
            </w:pPr>
            <w:r w:rsidRPr="004F7BFF">
              <w:rPr>
                <w:rFonts w:ascii="Aptos" w:eastAsia="Arial" w:hAnsi="Aptos" w:cs="Arial"/>
                <w:sz w:val="22"/>
                <w:szCs w:val="22"/>
              </w:rPr>
              <w:t>Ormiston Victory Academy</w:t>
            </w:r>
          </w:p>
        </w:tc>
      </w:tr>
      <w:tr w:rsidR="006154B0" w:rsidRPr="004F7BFF" w14:paraId="150E9994" w14:textId="77777777" w:rsidTr="00883B30">
        <w:trPr>
          <w:jc w:val="center"/>
        </w:trPr>
        <w:tc>
          <w:tcPr>
            <w:tcW w:w="2566" w:type="pct"/>
          </w:tcPr>
          <w:p w14:paraId="7A6F7B5A" w14:textId="352798DE" w:rsidR="006154B0" w:rsidRPr="004F7BFF" w:rsidRDefault="006154B0" w:rsidP="00883B30">
            <w:pPr>
              <w:rPr>
                <w:rFonts w:ascii="Aptos" w:eastAsia="Arial" w:hAnsi="Aptos" w:cs="Arial"/>
                <w:sz w:val="22"/>
                <w:szCs w:val="22"/>
              </w:rPr>
            </w:pPr>
            <w:r w:rsidRPr="000F5E42">
              <w:rPr>
                <w:rFonts w:ascii="Aptos" w:eastAsia="Arial" w:hAnsi="Aptos" w:cs="Arial"/>
                <w:sz w:val="22"/>
                <w:szCs w:val="22"/>
                <w:lang w:val="en-US"/>
              </w:rPr>
              <w:t>Lot 5 – London Region</w:t>
            </w:r>
          </w:p>
        </w:tc>
        <w:tc>
          <w:tcPr>
            <w:tcW w:w="2434" w:type="pct"/>
          </w:tcPr>
          <w:p w14:paraId="21DC21EF" w14:textId="77777777" w:rsidR="006154B0" w:rsidRPr="004F7BFF" w:rsidRDefault="006154B0" w:rsidP="00B6650F">
            <w:pPr>
              <w:rPr>
                <w:rFonts w:ascii="Aptos" w:eastAsia="Arial" w:hAnsi="Aptos" w:cs="Arial"/>
                <w:sz w:val="22"/>
                <w:szCs w:val="22"/>
              </w:rPr>
            </w:pPr>
            <w:r w:rsidRPr="004F7BFF">
              <w:rPr>
                <w:rFonts w:ascii="Aptos" w:eastAsia="Arial" w:hAnsi="Aptos" w:cs="Arial"/>
                <w:sz w:val="22"/>
                <w:szCs w:val="22"/>
              </w:rPr>
              <w:t>Ormiston Latimer Academy</w:t>
            </w:r>
          </w:p>
        </w:tc>
      </w:tr>
      <w:tr w:rsidR="006154B0" w:rsidRPr="004F7BFF" w14:paraId="12E54CFD" w14:textId="77777777" w:rsidTr="00883B30">
        <w:trPr>
          <w:jc w:val="center"/>
        </w:trPr>
        <w:tc>
          <w:tcPr>
            <w:tcW w:w="2566" w:type="pct"/>
          </w:tcPr>
          <w:p w14:paraId="1E3EEFE8" w14:textId="303BA6C2" w:rsidR="006154B0" w:rsidRPr="004F7BFF" w:rsidRDefault="006154B0" w:rsidP="00883B30">
            <w:pPr>
              <w:rPr>
                <w:rFonts w:ascii="Aptos" w:eastAsia="Arial" w:hAnsi="Aptos" w:cs="Arial"/>
                <w:sz w:val="22"/>
                <w:szCs w:val="22"/>
              </w:rPr>
            </w:pPr>
            <w:r w:rsidRPr="000F5E42">
              <w:rPr>
                <w:rFonts w:ascii="Aptos" w:eastAsia="Arial" w:hAnsi="Aptos" w:cs="Arial"/>
                <w:sz w:val="22"/>
                <w:szCs w:val="22"/>
                <w:lang w:val="en-US"/>
              </w:rPr>
              <w:t>Lot 5 – London Region</w:t>
            </w:r>
          </w:p>
        </w:tc>
        <w:tc>
          <w:tcPr>
            <w:tcW w:w="2434" w:type="pct"/>
          </w:tcPr>
          <w:p w14:paraId="6F866BDF" w14:textId="77777777" w:rsidR="006154B0" w:rsidRPr="004F7BFF" w:rsidRDefault="006154B0" w:rsidP="00B6650F">
            <w:pPr>
              <w:rPr>
                <w:rFonts w:ascii="Aptos" w:eastAsia="Arial" w:hAnsi="Aptos" w:cs="Arial"/>
                <w:sz w:val="22"/>
                <w:szCs w:val="22"/>
              </w:rPr>
            </w:pPr>
            <w:r w:rsidRPr="004F7BFF">
              <w:rPr>
                <w:rFonts w:ascii="Aptos" w:eastAsia="Arial" w:hAnsi="Aptos" w:cs="Arial"/>
                <w:sz w:val="22"/>
                <w:szCs w:val="22"/>
              </w:rPr>
              <w:t>Ormiston Beachcroft Academy</w:t>
            </w:r>
          </w:p>
        </w:tc>
      </w:tr>
      <w:tr w:rsidR="006154B0" w:rsidRPr="004F7BFF" w14:paraId="4E013E41" w14:textId="77777777" w:rsidTr="00883B30">
        <w:trPr>
          <w:jc w:val="center"/>
        </w:trPr>
        <w:tc>
          <w:tcPr>
            <w:tcW w:w="2566" w:type="pct"/>
          </w:tcPr>
          <w:p w14:paraId="55DCBB03" w14:textId="749C88A6" w:rsidR="006154B0" w:rsidRPr="004F7BFF" w:rsidRDefault="006154B0" w:rsidP="00883B30">
            <w:pPr>
              <w:rPr>
                <w:rFonts w:ascii="Aptos" w:eastAsia="Arial" w:hAnsi="Aptos" w:cs="Arial"/>
                <w:sz w:val="22"/>
                <w:szCs w:val="22"/>
              </w:rPr>
            </w:pPr>
            <w:r w:rsidRPr="000F5E42">
              <w:rPr>
                <w:rFonts w:ascii="Aptos" w:eastAsia="Arial" w:hAnsi="Aptos" w:cs="Arial"/>
                <w:sz w:val="22"/>
                <w:szCs w:val="22"/>
                <w:lang w:val="en-US"/>
              </w:rPr>
              <w:t>Lot 5 – London Region</w:t>
            </w:r>
          </w:p>
        </w:tc>
        <w:tc>
          <w:tcPr>
            <w:tcW w:w="2434" w:type="pct"/>
          </w:tcPr>
          <w:p w14:paraId="0FFF3E2F" w14:textId="77777777" w:rsidR="006154B0" w:rsidRPr="004F7BFF" w:rsidRDefault="006154B0" w:rsidP="00B6650F">
            <w:pPr>
              <w:rPr>
                <w:rFonts w:ascii="Aptos" w:eastAsia="Arial" w:hAnsi="Aptos" w:cs="Arial"/>
                <w:sz w:val="22"/>
                <w:szCs w:val="22"/>
              </w:rPr>
            </w:pPr>
            <w:r w:rsidRPr="004F7BFF">
              <w:rPr>
                <w:rFonts w:ascii="Aptos" w:eastAsia="Arial" w:hAnsi="Aptos" w:cs="Arial"/>
                <w:sz w:val="22"/>
                <w:szCs w:val="22"/>
              </w:rPr>
              <w:t>Ormiston Bridge Academy</w:t>
            </w:r>
          </w:p>
        </w:tc>
      </w:tr>
      <w:tr w:rsidR="006154B0" w:rsidRPr="004F7BFF" w14:paraId="354B55D1" w14:textId="77777777" w:rsidTr="00883B30">
        <w:trPr>
          <w:jc w:val="center"/>
        </w:trPr>
        <w:tc>
          <w:tcPr>
            <w:tcW w:w="2566" w:type="pct"/>
          </w:tcPr>
          <w:p w14:paraId="3B87B9C4" w14:textId="2A4FA491" w:rsidR="006154B0" w:rsidRPr="004F7BFF" w:rsidRDefault="006154B0" w:rsidP="00883B30">
            <w:pPr>
              <w:rPr>
                <w:rFonts w:ascii="Aptos" w:eastAsia="Arial" w:hAnsi="Aptos" w:cs="Arial"/>
                <w:sz w:val="22"/>
                <w:szCs w:val="22"/>
              </w:rPr>
            </w:pPr>
            <w:r w:rsidRPr="000F5E42">
              <w:rPr>
                <w:rFonts w:ascii="Aptos" w:eastAsia="Arial" w:hAnsi="Aptos" w:cs="Arial"/>
                <w:sz w:val="22"/>
                <w:szCs w:val="22"/>
                <w:lang w:val="en-US"/>
              </w:rPr>
              <w:t>Lot 5 – London Region</w:t>
            </w:r>
          </w:p>
        </w:tc>
        <w:tc>
          <w:tcPr>
            <w:tcW w:w="2434" w:type="pct"/>
          </w:tcPr>
          <w:p w14:paraId="60EE6952" w14:textId="77777777" w:rsidR="006154B0" w:rsidRPr="004F7BFF" w:rsidRDefault="006154B0" w:rsidP="00B6650F">
            <w:pPr>
              <w:rPr>
                <w:rFonts w:ascii="Aptos" w:eastAsia="Arial" w:hAnsi="Aptos" w:cs="Arial"/>
                <w:sz w:val="22"/>
                <w:szCs w:val="22"/>
              </w:rPr>
            </w:pPr>
            <w:r w:rsidRPr="004F7BFF">
              <w:rPr>
                <w:rFonts w:ascii="Aptos" w:eastAsia="Arial" w:hAnsi="Aptos" w:cs="Arial"/>
                <w:sz w:val="22"/>
                <w:szCs w:val="22"/>
              </w:rPr>
              <w:t>Ormiston Kensington Academy</w:t>
            </w:r>
          </w:p>
        </w:tc>
      </w:tr>
      <w:tr w:rsidR="006154B0" w:rsidRPr="004F7BFF" w14:paraId="78377214" w14:textId="77777777" w:rsidTr="00883B30">
        <w:trPr>
          <w:jc w:val="center"/>
        </w:trPr>
        <w:tc>
          <w:tcPr>
            <w:tcW w:w="2566" w:type="pct"/>
          </w:tcPr>
          <w:p w14:paraId="68173D0A" w14:textId="778C5569" w:rsidR="006154B0" w:rsidRPr="004F7BFF" w:rsidRDefault="006154B0" w:rsidP="00883B30">
            <w:pPr>
              <w:rPr>
                <w:rFonts w:ascii="Aptos" w:eastAsia="Arial" w:hAnsi="Aptos" w:cs="Arial"/>
                <w:sz w:val="22"/>
                <w:szCs w:val="22"/>
              </w:rPr>
            </w:pPr>
            <w:r w:rsidRPr="000F5E42">
              <w:rPr>
                <w:rFonts w:ascii="Aptos" w:eastAsia="Arial" w:hAnsi="Aptos" w:cs="Arial"/>
                <w:sz w:val="22"/>
                <w:szCs w:val="22"/>
                <w:lang w:val="en-US"/>
              </w:rPr>
              <w:t>Lot 5 – London Region</w:t>
            </w:r>
          </w:p>
        </w:tc>
        <w:tc>
          <w:tcPr>
            <w:tcW w:w="2434" w:type="pct"/>
          </w:tcPr>
          <w:p w14:paraId="5E8D926E" w14:textId="77777777" w:rsidR="006154B0" w:rsidRPr="004F7BFF" w:rsidRDefault="006154B0" w:rsidP="00B6650F">
            <w:pPr>
              <w:rPr>
                <w:rFonts w:ascii="Aptos" w:eastAsia="Arial" w:hAnsi="Aptos" w:cs="Arial"/>
                <w:sz w:val="22"/>
                <w:szCs w:val="22"/>
              </w:rPr>
            </w:pPr>
            <w:r w:rsidRPr="004F7BFF">
              <w:rPr>
                <w:rFonts w:ascii="Aptos" w:eastAsia="Arial" w:hAnsi="Aptos" w:cs="Arial"/>
                <w:sz w:val="22"/>
                <w:szCs w:val="22"/>
              </w:rPr>
              <w:t xml:space="preserve">Ormiston Queensmill Academy </w:t>
            </w:r>
          </w:p>
        </w:tc>
      </w:tr>
      <w:tr w:rsidR="00D62A63" w:rsidRPr="004F7BFF" w14:paraId="271AE21B" w14:textId="77777777" w:rsidTr="00883B30">
        <w:trPr>
          <w:jc w:val="center"/>
        </w:trPr>
        <w:tc>
          <w:tcPr>
            <w:tcW w:w="2566" w:type="pct"/>
          </w:tcPr>
          <w:p w14:paraId="3D96951C" w14:textId="72E7587B" w:rsidR="00D62A63" w:rsidRPr="00B07EAE" w:rsidRDefault="00D62A63" w:rsidP="00883B30">
            <w:pPr>
              <w:rPr>
                <w:rFonts w:ascii="Aptos" w:eastAsia="Arial" w:hAnsi="Aptos" w:cs="Arial"/>
                <w:sz w:val="22"/>
                <w:szCs w:val="22"/>
                <w:lang w:val="en-US"/>
              </w:rPr>
            </w:pPr>
            <w:r w:rsidRPr="00B07EAE">
              <w:rPr>
                <w:rFonts w:ascii="Aptos" w:eastAsia="Arial" w:hAnsi="Aptos" w:cs="Arial"/>
                <w:sz w:val="22"/>
                <w:szCs w:val="22"/>
                <w:lang w:val="en-US"/>
              </w:rPr>
              <w:t>Lot 6 – South Region</w:t>
            </w:r>
          </w:p>
        </w:tc>
        <w:tc>
          <w:tcPr>
            <w:tcW w:w="2434" w:type="pct"/>
          </w:tcPr>
          <w:p w14:paraId="54E317F5" w14:textId="4530915E" w:rsidR="00D62A63" w:rsidRPr="00B07EAE" w:rsidRDefault="00B07EAE" w:rsidP="00B6650F">
            <w:pPr>
              <w:rPr>
                <w:rFonts w:ascii="Aptos" w:eastAsia="Arial" w:hAnsi="Aptos" w:cs="Arial"/>
                <w:sz w:val="22"/>
                <w:szCs w:val="22"/>
              </w:rPr>
            </w:pPr>
            <w:r w:rsidRPr="00B07EAE">
              <w:rPr>
                <w:rFonts w:ascii="Aptos" w:eastAsia="Arial" w:hAnsi="Aptos" w:cs="Arial"/>
                <w:sz w:val="22"/>
                <w:szCs w:val="22"/>
              </w:rPr>
              <w:t>Ormiston</w:t>
            </w:r>
            <w:r w:rsidR="00D62A63" w:rsidRPr="00B07EAE">
              <w:rPr>
                <w:rFonts w:ascii="Aptos" w:eastAsia="Arial" w:hAnsi="Aptos" w:cs="Arial"/>
                <w:sz w:val="22"/>
                <w:szCs w:val="22"/>
              </w:rPr>
              <w:t xml:space="preserve"> </w:t>
            </w:r>
            <w:r w:rsidRPr="00B07EAE">
              <w:rPr>
                <w:rFonts w:ascii="Aptos" w:eastAsia="Arial" w:hAnsi="Aptos" w:cs="Arial"/>
                <w:sz w:val="22"/>
                <w:szCs w:val="22"/>
              </w:rPr>
              <w:t>Six Villages Academy</w:t>
            </w:r>
          </w:p>
        </w:tc>
      </w:tr>
      <w:tr w:rsidR="006154B0" w:rsidRPr="004F7BFF" w14:paraId="048EC99D" w14:textId="77777777" w:rsidTr="00883B30">
        <w:trPr>
          <w:jc w:val="center"/>
        </w:trPr>
        <w:tc>
          <w:tcPr>
            <w:tcW w:w="2566" w:type="pct"/>
          </w:tcPr>
          <w:p w14:paraId="240CC420" w14:textId="78DEB7DB" w:rsidR="006154B0" w:rsidRPr="004F7BFF" w:rsidRDefault="006154B0" w:rsidP="00883B30">
            <w:pPr>
              <w:rPr>
                <w:rFonts w:ascii="Aptos" w:hAnsi="Aptos" w:cs="Arial"/>
                <w:sz w:val="22"/>
                <w:szCs w:val="22"/>
              </w:rPr>
            </w:pPr>
            <w:r w:rsidRPr="004E160C">
              <w:rPr>
                <w:rFonts w:ascii="Aptos" w:eastAsia="Arial" w:hAnsi="Aptos" w:cs="Arial"/>
                <w:sz w:val="22"/>
                <w:szCs w:val="22"/>
                <w:lang w:val="en-US"/>
              </w:rPr>
              <w:t>Lot 6 – South Region</w:t>
            </w:r>
          </w:p>
        </w:tc>
        <w:tc>
          <w:tcPr>
            <w:tcW w:w="2434" w:type="pct"/>
          </w:tcPr>
          <w:p w14:paraId="18CCD186" w14:textId="77777777" w:rsidR="006154B0" w:rsidRPr="004F7BFF" w:rsidRDefault="006154B0" w:rsidP="006154B0">
            <w:pPr>
              <w:rPr>
                <w:rFonts w:ascii="Aptos" w:hAnsi="Aptos" w:cs="Arial"/>
                <w:sz w:val="22"/>
                <w:szCs w:val="22"/>
              </w:rPr>
            </w:pPr>
            <w:r w:rsidRPr="004F7BFF">
              <w:rPr>
                <w:rFonts w:ascii="Aptos" w:eastAsia="Arial" w:hAnsi="Aptos" w:cs="Arial"/>
                <w:sz w:val="22"/>
                <w:szCs w:val="22"/>
              </w:rPr>
              <w:t>Ormiston Park Academy</w:t>
            </w:r>
          </w:p>
        </w:tc>
      </w:tr>
      <w:tr w:rsidR="006154B0" w:rsidRPr="004F7BFF" w14:paraId="4E44B7D5" w14:textId="77777777" w:rsidTr="00883B30">
        <w:trPr>
          <w:jc w:val="center"/>
        </w:trPr>
        <w:tc>
          <w:tcPr>
            <w:tcW w:w="2566" w:type="pct"/>
          </w:tcPr>
          <w:p w14:paraId="4F8E3D6E" w14:textId="24914961" w:rsidR="006154B0" w:rsidRPr="004F7BFF" w:rsidRDefault="006154B0" w:rsidP="00883B30">
            <w:pPr>
              <w:rPr>
                <w:rFonts w:ascii="Aptos" w:hAnsi="Aptos" w:cs="Arial"/>
                <w:sz w:val="22"/>
                <w:szCs w:val="22"/>
              </w:rPr>
            </w:pPr>
            <w:r w:rsidRPr="004E160C">
              <w:rPr>
                <w:rFonts w:ascii="Aptos" w:eastAsia="Arial" w:hAnsi="Aptos" w:cs="Arial"/>
                <w:sz w:val="22"/>
                <w:szCs w:val="22"/>
                <w:lang w:val="en-US"/>
              </w:rPr>
              <w:t>Lot 6 – South Region</w:t>
            </w:r>
          </w:p>
        </w:tc>
        <w:tc>
          <w:tcPr>
            <w:tcW w:w="2434" w:type="pct"/>
          </w:tcPr>
          <w:p w14:paraId="1ED78CE4" w14:textId="77777777" w:rsidR="006154B0" w:rsidRPr="004F7BFF" w:rsidRDefault="006154B0" w:rsidP="006154B0">
            <w:pPr>
              <w:rPr>
                <w:rFonts w:ascii="Aptos" w:hAnsi="Aptos" w:cs="Arial"/>
                <w:sz w:val="22"/>
                <w:szCs w:val="22"/>
              </w:rPr>
            </w:pPr>
            <w:r w:rsidRPr="004F7BFF">
              <w:rPr>
                <w:rFonts w:ascii="Aptos" w:eastAsia="Arial" w:hAnsi="Aptos" w:cs="Arial"/>
                <w:sz w:val="22"/>
                <w:szCs w:val="22"/>
              </w:rPr>
              <w:t>Ormiston Rivers Academy</w:t>
            </w:r>
          </w:p>
        </w:tc>
      </w:tr>
      <w:tr w:rsidR="006154B0" w:rsidRPr="004F7BFF" w14:paraId="136A0734" w14:textId="77777777" w:rsidTr="00883B30">
        <w:trPr>
          <w:jc w:val="center"/>
        </w:trPr>
        <w:tc>
          <w:tcPr>
            <w:tcW w:w="2566" w:type="pct"/>
          </w:tcPr>
          <w:p w14:paraId="5674C3B9" w14:textId="726A52EE" w:rsidR="006154B0" w:rsidRPr="004F7BFF" w:rsidRDefault="006154B0" w:rsidP="00883B30">
            <w:pPr>
              <w:rPr>
                <w:rFonts w:ascii="Aptos" w:hAnsi="Aptos" w:cs="Arial"/>
                <w:sz w:val="22"/>
                <w:szCs w:val="22"/>
              </w:rPr>
            </w:pPr>
            <w:r w:rsidRPr="004E160C">
              <w:rPr>
                <w:rFonts w:ascii="Aptos" w:eastAsia="Arial" w:hAnsi="Aptos" w:cs="Arial"/>
                <w:sz w:val="22"/>
                <w:szCs w:val="22"/>
                <w:lang w:val="en-US"/>
              </w:rPr>
              <w:t>Lot 6 – South Region</w:t>
            </w:r>
          </w:p>
        </w:tc>
        <w:tc>
          <w:tcPr>
            <w:tcW w:w="2434" w:type="pct"/>
          </w:tcPr>
          <w:p w14:paraId="5885786E" w14:textId="329A9006" w:rsidR="006154B0" w:rsidRPr="004F7BFF" w:rsidRDefault="006154B0" w:rsidP="006154B0">
            <w:pPr>
              <w:rPr>
                <w:rFonts w:ascii="Aptos" w:hAnsi="Aptos" w:cs="Arial"/>
                <w:sz w:val="22"/>
                <w:szCs w:val="22"/>
              </w:rPr>
            </w:pPr>
            <w:r w:rsidRPr="004F7BFF">
              <w:rPr>
                <w:rFonts w:ascii="Aptos" w:eastAsia="Arial" w:hAnsi="Aptos" w:cs="Arial"/>
                <w:sz w:val="22"/>
                <w:szCs w:val="22"/>
              </w:rPr>
              <w:t>Cowes Enterprise College, an Ormiston Academy</w:t>
            </w:r>
          </w:p>
        </w:tc>
      </w:tr>
    </w:tbl>
    <w:p w14:paraId="65A3174D" w14:textId="77777777" w:rsidR="008A65D0" w:rsidRPr="009D7F21" w:rsidRDefault="008A65D0" w:rsidP="004F7BFF">
      <w:pPr>
        <w:pStyle w:val="Heading1"/>
        <w:numPr>
          <w:ilvl w:val="0"/>
          <w:numId w:val="0"/>
        </w:numPr>
        <w:rPr>
          <w:rFonts w:cs="Arial"/>
          <w:color w:val="0070C0"/>
        </w:rPr>
      </w:pPr>
    </w:p>
    <w:p w14:paraId="048FA515" w14:textId="0604B9B4" w:rsidR="00DA147D" w:rsidRPr="004B3747" w:rsidRDefault="00DA147D" w:rsidP="0043347C">
      <w:pPr>
        <w:pStyle w:val="TitleClause"/>
        <w:numPr>
          <w:ilvl w:val="0"/>
          <w:numId w:val="66"/>
        </w:numPr>
        <w:rPr>
          <w:rFonts w:ascii="Aptos" w:hAnsi="Aptos"/>
        </w:rPr>
      </w:pPr>
      <w:bookmarkStart w:id="252" w:name="a409596"/>
      <w:bookmarkStart w:id="253" w:name="_Toc208864923"/>
      <w:r w:rsidRPr="004B3747">
        <w:rPr>
          <w:rFonts w:ascii="Aptos" w:hAnsi="Aptos"/>
        </w:rPr>
        <w:t>TUPE</w:t>
      </w:r>
      <w:bookmarkEnd w:id="223"/>
      <w:bookmarkEnd w:id="252"/>
      <w:bookmarkEnd w:id="253"/>
    </w:p>
    <w:p w14:paraId="15BCC23D" w14:textId="3E7ACAA0" w:rsidR="00DA147D" w:rsidRPr="004B3747" w:rsidRDefault="00B85267" w:rsidP="00CA1A98">
      <w:pPr>
        <w:pStyle w:val="Untitledsubclause1"/>
        <w:rPr>
          <w:rFonts w:ascii="Aptos" w:hAnsi="Aptos"/>
          <w:b/>
        </w:rPr>
      </w:pPr>
      <w:bookmarkStart w:id="254" w:name="a463002"/>
      <w:bookmarkStart w:id="255" w:name="_Toc208856298"/>
      <w:bookmarkStart w:id="256" w:name="_Toc208864924"/>
      <w:r w:rsidRPr="004B3747">
        <w:rPr>
          <w:rFonts w:ascii="Aptos" w:hAnsi="Aptos"/>
          <w:b/>
        </w:rPr>
        <w:t xml:space="preserve">Potential </w:t>
      </w:r>
      <w:r w:rsidR="00DA147D" w:rsidRPr="004B3747">
        <w:rPr>
          <w:rFonts w:ascii="Aptos" w:hAnsi="Aptos"/>
          <w:b/>
        </w:rPr>
        <w:t xml:space="preserve">Transferring </w:t>
      </w:r>
      <w:r w:rsidRPr="004B3747">
        <w:rPr>
          <w:rFonts w:ascii="Aptos" w:hAnsi="Aptos"/>
          <w:b/>
        </w:rPr>
        <w:t>of E</w:t>
      </w:r>
      <w:r w:rsidR="00DA147D" w:rsidRPr="004B3747">
        <w:rPr>
          <w:rFonts w:ascii="Aptos" w:hAnsi="Aptos"/>
          <w:b/>
        </w:rPr>
        <w:t>mployees</w:t>
      </w:r>
      <w:bookmarkEnd w:id="254"/>
      <w:r w:rsidR="007638F6" w:rsidRPr="004B3747">
        <w:rPr>
          <w:rFonts w:ascii="Aptos" w:hAnsi="Aptos"/>
          <w:b/>
        </w:rPr>
        <w:t xml:space="preserve"> at </w:t>
      </w:r>
      <w:r w:rsidRPr="004B3747">
        <w:rPr>
          <w:rFonts w:ascii="Aptos" w:hAnsi="Aptos"/>
          <w:b/>
        </w:rPr>
        <w:t>the Award of Related C</w:t>
      </w:r>
      <w:r w:rsidR="00684995" w:rsidRPr="004B3747">
        <w:rPr>
          <w:rFonts w:ascii="Aptos" w:hAnsi="Aptos"/>
          <w:b/>
        </w:rPr>
        <w:t>ontract Call-Off</w:t>
      </w:r>
      <w:r w:rsidRPr="004B3747">
        <w:rPr>
          <w:rFonts w:ascii="Aptos" w:hAnsi="Aptos"/>
          <w:b/>
        </w:rPr>
        <w:t>s</w:t>
      </w:r>
      <w:bookmarkEnd w:id="255"/>
      <w:bookmarkEnd w:id="256"/>
    </w:p>
    <w:p w14:paraId="05746D10" w14:textId="0AD7ABA2" w:rsidR="00DA147D" w:rsidRPr="004B3747" w:rsidRDefault="005A4413" w:rsidP="00CA1A98">
      <w:pPr>
        <w:pStyle w:val="Parasubclause1"/>
        <w:rPr>
          <w:rFonts w:ascii="Aptos" w:hAnsi="Aptos"/>
        </w:rPr>
      </w:pPr>
      <w:r w:rsidRPr="004B3747">
        <w:rPr>
          <w:rFonts w:ascii="Aptos" w:hAnsi="Aptos"/>
        </w:rPr>
        <w:t>OAT</w:t>
      </w:r>
      <w:r w:rsidR="00DA147D" w:rsidRPr="004B3747">
        <w:rPr>
          <w:rFonts w:ascii="Aptos" w:hAnsi="Aptos"/>
        </w:rPr>
        <w:t xml:space="preserve"> envisages that the employees working on the current </w:t>
      </w:r>
      <w:r w:rsidR="00481E91" w:rsidRPr="004B3747">
        <w:rPr>
          <w:rFonts w:ascii="Aptos" w:hAnsi="Aptos"/>
        </w:rPr>
        <w:t xml:space="preserve">call-off </w:t>
      </w:r>
      <w:r w:rsidR="00DA147D" w:rsidRPr="004B3747">
        <w:rPr>
          <w:rFonts w:ascii="Aptos" w:hAnsi="Aptos"/>
        </w:rPr>
        <w:t>service</w:t>
      </w:r>
      <w:r w:rsidR="00481E91" w:rsidRPr="004B3747">
        <w:rPr>
          <w:rFonts w:ascii="Aptos" w:hAnsi="Aptos"/>
        </w:rPr>
        <w:t>s</w:t>
      </w:r>
      <w:r w:rsidR="00DA147D" w:rsidRPr="004B3747">
        <w:rPr>
          <w:rFonts w:ascii="Aptos" w:hAnsi="Aptos"/>
        </w:rPr>
        <w:t xml:space="preserve"> shall transfer to the Service Provider or its subcontractors, under the Transfer of Undertakings (Protection of Employment) Regulations 2006 (</w:t>
      </w:r>
      <w:r w:rsidR="00DA147D" w:rsidRPr="004B3747">
        <w:rPr>
          <w:rFonts w:ascii="Aptos" w:hAnsi="Aptos"/>
          <w:i/>
        </w:rPr>
        <w:t>SI 2006/246</w:t>
      </w:r>
      <w:r w:rsidR="00DA147D" w:rsidRPr="004B3747">
        <w:rPr>
          <w:rFonts w:ascii="Aptos" w:hAnsi="Aptos"/>
        </w:rPr>
        <w:t>) (</w:t>
      </w:r>
      <w:r w:rsidR="00DA147D" w:rsidRPr="004B3747">
        <w:rPr>
          <w:rFonts w:ascii="Aptos" w:hAnsi="Aptos"/>
          <w:b/>
        </w:rPr>
        <w:t>TUPE</w:t>
      </w:r>
      <w:r w:rsidR="00DA147D" w:rsidRPr="004B3747">
        <w:rPr>
          <w:rFonts w:ascii="Aptos" w:hAnsi="Aptos"/>
        </w:rPr>
        <w:t xml:space="preserve">) along with the Services. These employees </w:t>
      </w:r>
      <w:r w:rsidR="00481E91" w:rsidRPr="004B3747">
        <w:rPr>
          <w:rFonts w:ascii="Aptos" w:hAnsi="Aptos"/>
        </w:rPr>
        <w:t>will be</w:t>
      </w:r>
      <w:r w:rsidR="00DA147D" w:rsidRPr="004B3747">
        <w:rPr>
          <w:rFonts w:ascii="Aptos" w:hAnsi="Aptos"/>
        </w:rPr>
        <w:t xml:space="preserve"> currently employed by:</w:t>
      </w:r>
    </w:p>
    <w:p w14:paraId="5E88BC8D" w14:textId="2C271CAD" w:rsidR="00DA147D" w:rsidRPr="004B3747" w:rsidRDefault="009E0495" w:rsidP="00CA1A98">
      <w:pPr>
        <w:pStyle w:val="subclause1Bullet1"/>
        <w:rPr>
          <w:rFonts w:ascii="Aptos" w:hAnsi="Aptos"/>
        </w:rPr>
      </w:pPr>
      <w:r w:rsidRPr="004B3747">
        <w:rPr>
          <w:rFonts w:ascii="Aptos" w:hAnsi="Aptos"/>
        </w:rPr>
        <w:t>OAT</w:t>
      </w:r>
      <w:r w:rsidR="00DA147D" w:rsidRPr="004B3747">
        <w:rPr>
          <w:rFonts w:ascii="Aptos" w:hAnsi="Aptos"/>
        </w:rPr>
        <w:t xml:space="preserve"> (Transferring Employees)</w:t>
      </w:r>
      <w:r w:rsidR="00481E91" w:rsidRPr="004B3747">
        <w:rPr>
          <w:rFonts w:ascii="Aptos" w:hAnsi="Aptos"/>
        </w:rPr>
        <w:t xml:space="preserve"> or</w:t>
      </w:r>
    </w:p>
    <w:p w14:paraId="3EB660D6" w14:textId="77777777" w:rsidR="00DA147D" w:rsidRPr="004B3747" w:rsidRDefault="00DA147D" w:rsidP="00CA1A98">
      <w:pPr>
        <w:pStyle w:val="subclause1Bullet1"/>
        <w:rPr>
          <w:rFonts w:ascii="Aptos" w:hAnsi="Aptos"/>
        </w:rPr>
      </w:pPr>
      <w:r w:rsidRPr="004B3747">
        <w:rPr>
          <w:rFonts w:ascii="Aptos" w:hAnsi="Aptos"/>
        </w:rPr>
        <w:lastRenderedPageBreak/>
        <w:t>The incumbent supplier (Third Party Employees).</w:t>
      </w:r>
    </w:p>
    <w:p w14:paraId="238B377A" w14:textId="07C9C95D" w:rsidR="003D5ABF" w:rsidRPr="007617B0" w:rsidRDefault="00DA147D" w:rsidP="004B3747">
      <w:pPr>
        <w:pStyle w:val="Parasubclause1"/>
        <w:rPr>
          <w:rFonts w:ascii="Aptos" w:hAnsi="Aptos"/>
        </w:rPr>
      </w:pPr>
      <w:r w:rsidRPr="004B3747">
        <w:rPr>
          <w:rFonts w:ascii="Aptos" w:hAnsi="Aptos"/>
        </w:rPr>
        <w:t>Provisional lists of the Transferring Employees</w:t>
      </w:r>
      <w:r w:rsidR="00AF670D" w:rsidRPr="004B3747">
        <w:rPr>
          <w:rFonts w:ascii="Aptos" w:hAnsi="Aptos"/>
        </w:rPr>
        <w:t xml:space="preserve"> will be provided </w:t>
      </w:r>
      <w:r w:rsidR="009A4F3D" w:rsidRPr="004B3747">
        <w:rPr>
          <w:rFonts w:ascii="Aptos" w:hAnsi="Aptos"/>
        </w:rPr>
        <w:t xml:space="preserve">in each </w:t>
      </w:r>
      <w:r w:rsidR="004B3747" w:rsidRPr="004B3747">
        <w:rPr>
          <w:rFonts w:ascii="Aptos" w:hAnsi="Aptos"/>
        </w:rPr>
        <w:t>mini competition</w:t>
      </w:r>
      <w:r w:rsidRPr="004B3747">
        <w:rPr>
          <w:rFonts w:ascii="Aptos" w:hAnsi="Aptos"/>
        </w:rPr>
        <w:t xml:space="preserve"> </w:t>
      </w:r>
      <w:r w:rsidR="009A4F3D" w:rsidRPr="004B3747">
        <w:rPr>
          <w:rFonts w:ascii="Aptos" w:hAnsi="Aptos"/>
        </w:rPr>
        <w:t xml:space="preserve">throughout the life of the </w:t>
      </w:r>
      <w:r w:rsidR="00102732" w:rsidRPr="004B3747">
        <w:rPr>
          <w:rFonts w:ascii="Aptos" w:hAnsi="Aptos"/>
        </w:rPr>
        <w:t>Framework.</w:t>
      </w:r>
    </w:p>
    <w:sectPr w:rsidR="003D5ABF" w:rsidRPr="007617B0" w:rsidSect="00CA1A98">
      <w:footerReference w:type="default" r:id="rId1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167FE" w14:textId="77777777" w:rsidR="004E0775" w:rsidRDefault="004E0775">
      <w:pPr>
        <w:spacing w:after="0" w:line="240" w:lineRule="auto"/>
      </w:pPr>
      <w:r>
        <w:separator/>
      </w:r>
    </w:p>
  </w:endnote>
  <w:endnote w:type="continuationSeparator" w:id="0">
    <w:p w14:paraId="5C054FA9" w14:textId="77777777" w:rsidR="004E0775" w:rsidRDefault="004E0775">
      <w:pPr>
        <w:spacing w:after="0" w:line="240" w:lineRule="auto"/>
      </w:pPr>
      <w:r>
        <w:continuationSeparator/>
      </w:r>
    </w:p>
  </w:endnote>
  <w:endnote w:type="continuationNotice" w:id="1">
    <w:p w14:paraId="3FBE485B" w14:textId="77777777" w:rsidR="004E0775" w:rsidRDefault="004E07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DF435" w14:textId="77777777" w:rsidR="00AF2805" w:rsidRDefault="00DA147D">
    <w:pPr>
      <w:jc w:val="center"/>
    </w:pPr>
    <w:r>
      <w:fldChar w:fldCharType="begin"/>
    </w:r>
    <w:r>
      <w:instrText>PAGE</w:instrText>
    </w:r>
    <w:r>
      <w:fldChar w:fldCharType="separate"/>
    </w:r>
    <w:r>
      <w:t>33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F8F56" w14:textId="77777777" w:rsidR="004E0775" w:rsidRDefault="004E0775">
      <w:pPr>
        <w:spacing w:after="0" w:line="240" w:lineRule="auto"/>
      </w:pPr>
      <w:r>
        <w:separator/>
      </w:r>
    </w:p>
  </w:footnote>
  <w:footnote w:type="continuationSeparator" w:id="0">
    <w:p w14:paraId="467D2678" w14:textId="77777777" w:rsidR="004E0775" w:rsidRDefault="004E0775">
      <w:pPr>
        <w:spacing w:after="0" w:line="240" w:lineRule="auto"/>
      </w:pPr>
      <w:r>
        <w:continuationSeparator/>
      </w:r>
    </w:p>
  </w:footnote>
  <w:footnote w:type="continuationNotice" w:id="1">
    <w:p w14:paraId="1F8A9325" w14:textId="77777777" w:rsidR="004E0775" w:rsidRDefault="004E07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B47"/>
    <w:multiLevelType w:val="multilevel"/>
    <w:tmpl w:val="117E5170"/>
    <w:name w:val="Office Level Numbering"/>
    <w:lvl w:ilvl="0">
      <w:start w:val="1"/>
      <w:numFmt w:val="decimal"/>
      <w:pStyle w:val="OfficeLevel1"/>
      <w:lvlText w:val="%1"/>
      <w:lvlJc w:val="left"/>
      <w:pPr>
        <w:tabs>
          <w:tab w:val="num" w:pos="720"/>
        </w:tabs>
        <w:ind w:left="720" w:hanging="720"/>
      </w:pPr>
      <w:rPr>
        <w:rFonts w:ascii="Arial" w:hAnsi="Arial" w:cs="Arial" w:hint="default"/>
        <w:b/>
        <w:sz w:val="24"/>
      </w:rPr>
    </w:lvl>
    <w:lvl w:ilvl="1">
      <w:start w:val="1"/>
      <w:numFmt w:val="decimal"/>
      <w:pStyle w:val="OfficeLevel2"/>
      <w:lvlText w:val="%1.%2"/>
      <w:lvlJc w:val="left"/>
      <w:pPr>
        <w:tabs>
          <w:tab w:val="num" w:pos="1440"/>
        </w:tabs>
        <w:ind w:left="1440" w:hanging="720"/>
      </w:pPr>
      <w:rPr>
        <w:rFonts w:ascii="Arial" w:hAnsi="Arial" w:cs="Arial" w:hint="default"/>
        <w:b w:val="0"/>
        <w:sz w:val="20"/>
      </w:rPr>
    </w:lvl>
    <w:lvl w:ilvl="2">
      <w:start w:val="1"/>
      <w:numFmt w:val="decimal"/>
      <w:pStyle w:val="OfficeLevel3"/>
      <w:lvlText w:val="%1.%2.%3"/>
      <w:lvlJc w:val="left"/>
      <w:pPr>
        <w:tabs>
          <w:tab w:val="num" w:pos="2160"/>
        </w:tabs>
        <w:ind w:left="216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OfficeLevel4"/>
      <w:lvlText w:val="(%4)"/>
      <w:lvlJc w:val="left"/>
      <w:pPr>
        <w:tabs>
          <w:tab w:val="num" w:pos="2880"/>
        </w:tabs>
        <w:ind w:left="2880" w:hanging="72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OfficeLevel5"/>
      <w:lvlText w:val="(%5)"/>
      <w:lvlJc w:val="left"/>
      <w:pPr>
        <w:tabs>
          <w:tab w:val="num" w:pos="3600"/>
        </w:tabs>
        <w:ind w:left="3600" w:hanging="72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1" w15:restartNumberingAfterBreak="0">
    <w:nsid w:val="02814D04"/>
    <w:multiLevelType w:val="multilevel"/>
    <w:tmpl w:val="A0267604"/>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b w:val="0"/>
        <w:bCs w:val="0"/>
        <w:color w:val="000000"/>
        <w:sz w:val="22"/>
        <w:szCs w:val="22"/>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7575CE"/>
    <w:multiLevelType w:val="multilevel"/>
    <w:tmpl w:val="626A109C"/>
    <w:name w:val="List Bullet"/>
    <w:lvl w:ilvl="0">
      <w:start w:val="1"/>
      <w:numFmt w:val="bullet"/>
      <w:pStyle w:val="ListBullet"/>
      <w:lvlText w:val="·"/>
      <w:lvlJc w:val="left"/>
      <w:pPr>
        <w:tabs>
          <w:tab w:val="num" w:pos="720"/>
        </w:tabs>
        <w:ind w:left="720" w:hanging="720"/>
      </w:pPr>
      <w:rPr>
        <w:rFonts w:ascii="Symbol" w:hAnsi="Symbol" w:hint="default"/>
        <w:b w:val="0"/>
        <w:i w:val="0"/>
        <w:caps w:val="0"/>
        <w:sz w:val="22"/>
      </w:rPr>
    </w:lvl>
    <w:lvl w:ilvl="1">
      <w:start w:val="1"/>
      <w:numFmt w:val="bullet"/>
      <w:pStyle w:val="ListBullet2"/>
      <w:lvlText w:val="-"/>
      <w:lvlJc w:val="left"/>
      <w:pPr>
        <w:tabs>
          <w:tab w:val="num" w:pos="1440"/>
        </w:tabs>
        <w:ind w:left="1440" w:hanging="720"/>
      </w:pPr>
      <w:rPr>
        <w:rFonts w:ascii="Calibri" w:hAnsi="Calibri"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3" w15:restartNumberingAfterBreak="0">
    <w:nsid w:val="07253412"/>
    <w:multiLevelType w:val="hybridMultilevel"/>
    <w:tmpl w:val="960CC850"/>
    <w:lvl w:ilvl="0" w:tplc="F998FA34">
      <w:start w:val="1"/>
      <w:numFmt w:val="bullet"/>
      <w:pStyle w:val="DefinedTermBullet"/>
      <w:lvlText w:val=""/>
      <w:lvlJc w:val="left"/>
      <w:pPr>
        <w:ind w:left="1440" w:hanging="360"/>
      </w:pPr>
      <w:rPr>
        <w:rFonts w:ascii="Symbol" w:hAnsi="Symbol" w:hint="default"/>
        <w:color w:val="000000"/>
      </w:rPr>
    </w:lvl>
    <w:lvl w:ilvl="1" w:tplc="41CE08EA" w:tentative="1">
      <w:start w:val="1"/>
      <w:numFmt w:val="bullet"/>
      <w:lvlText w:val="o"/>
      <w:lvlJc w:val="left"/>
      <w:pPr>
        <w:ind w:left="2160" w:hanging="360"/>
      </w:pPr>
      <w:rPr>
        <w:rFonts w:ascii="Courier New" w:hAnsi="Courier New" w:cs="Courier New" w:hint="default"/>
      </w:rPr>
    </w:lvl>
    <w:lvl w:ilvl="2" w:tplc="734EEC8E" w:tentative="1">
      <w:start w:val="1"/>
      <w:numFmt w:val="bullet"/>
      <w:lvlText w:val=""/>
      <w:lvlJc w:val="left"/>
      <w:pPr>
        <w:ind w:left="2880" w:hanging="360"/>
      </w:pPr>
      <w:rPr>
        <w:rFonts w:ascii="Wingdings" w:hAnsi="Wingdings" w:hint="default"/>
      </w:rPr>
    </w:lvl>
    <w:lvl w:ilvl="3" w:tplc="C7FA4BFC" w:tentative="1">
      <w:start w:val="1"/>
      <w:numFmt w:val="bullet"/>
      <w:lvlText w:val=""/>
      <w:lvlJc w:val="left"/>
      <w:pPr>
        <w:ind w:left="3600" w:hanging="360"/>
      </w:pPr>
      <w:rPr>
        <w:rFonts w:ascii="Symbol" w:hAnsi="Symbol" w:hint="default"/>
      </w:rPr>
    </w:lvl>
    <w:lvl w:ilvl="4" w:tplc="759C66EE" w:tentative="1">
      <w:start w:val="1"/>
      <w:numFmt w:val="bullet"/>
      <w:lvlText w:val="o"/>
      <w:lvlJc w:val="left"/>
      <w:pPr>
        <w:ind w:left="4320" w:hanging="360"/>
      </w:pPr>
      <w:rPr>
        <w:rFonts w:ascii="Courier New" w:hAnsi="Courier New" w:cs="Courier New" w:hint="default"/>
      </w:rPr>
    </w:lvl>
    <w:lvl w:ilvl="5" w:tplc="3C7CB01C" w:tentative="1">
      <w:start w:val="1"/>
      <w:numFmt w:val="bullet"/>
      <w:lvlText w:val=""/>
      <w:lvlJc w:val="left"/>
      <w:pPr>
        <w:ind w:left="5040" w:hanging="360"/>
      </w:pPr>
      <w:rPr>
        <w:rFonts w:ascii="Wingdings" w:hAnsi="Wingdings" w:hint="default"/>
      </w:rPr>
    </w:lvl>
    <w:lvl w:ilvl="6" w:tplc="99668E58" w:tentative="1">
      <w:start w:val="1"/>
      <w:numFmt w:val="bullet"/>
      <w:lvlText w:val=""/>
      <w:lvlJc w:val="left"/>
      <w:pPr>
        <w:ind w:left="5760" w:hanging="360"/>
      </w:pPr>
      <w:rPr>
        <w:rFonts w:ascii="Symbol" w:hAnsi="Symbol" w:hint="default"/>
      </w:rPr>
    </w:lvl>
    <w:lvl w:ilvl="7" w:tplc="298084FC" w:tentative="1">
      <w:start w:val="1"/>
      <w:numFmt w:val="bullet"/>
      <w:lvlText w:val="o"/>
      <w:lvlJc w:val="left"/>
      <w:pPr>
        <w:ind w:left="6480" w:hanging="360"/>
      </w:pPr>
      <w:rPr>
        <w:rFonts w:ascii="Courier New" w:hAnsi="Courier New" w:cs="Courier New" w:hint="default"/>
      </w:rPr>
    </w:lvl>
    <w:lvl w:ilvl="8" w:tplc="3988A212" w:tentative="1">
      <w:start w:val="1"/>
      <w:numFmt w:val="bullet"/>
      <w:lvlText w:val=""/>
      <w:lvlJc w:val="left"/>
      <w:pPr>
        <w:ind w:left="7200" w:hanging="360"/>
      </w:pPr>
      <w:rPr>
        <w:rFonts w:ascii="Wingdings" w:hAnsi="Wingdings" w:hint="default"/>
      </w:rPr>
    </w:lvl>
  </w:abstractNum>
  <w:abstractNum w:abstractNumId="4" w15:restartNumberingAfterBreak="0">
    <w:nsid w:val="0B4806C7"/>
    <w:multiLevelType w:val="hybridMultilevel"/>
    <w:tmpl w:val="83B2DF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DB04301"/>
    <w:multiLevelType w:val="hybridMultilevel"/>
    <w:tmpl w:val="65D28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07257B"/>
    <w:multiLevelType w:val="hybridMultilevel"/>
    <w:tmpl w:val="18E43C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0D86F45"/>
    <w:multiLevelType w:val="hybridMultilevel"/>
    <w:tmpl w:val="5F743F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2C7436"/>
    <w:multiLevelType w:val="hybridMultilevel"/>
    <w:tmpl w:val="3CBC846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825EA9"/>
    <w:multiLevelType w:val="multilevel"/>
    <w:tmpl w:val="B5EA651E"/>
    <w:lvl w:ilvl="0">
      <w:start w:val="1"/>
      <w:numFmt w:val="decimal"/>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rPr>
    </w:lvl>
    <w:lvl w:ilvl="3">
      <w:start w:val="1"/>
      <w:numFmt w:val="decimal"/>
      <w:pStyle w:val="ScheduleUntitledsubclause1"/>
      <w:lvlText w:val="%3.%4"/>
      <w:lvlJc w:val="left"/>
      <w:pPr>
        <w:tabs>
          <w:tab w:val="num" w:pos="720"/>
        </w:tabs>
        <w:ind w:left="720" w:hanging="720"/>
      </w:pPr>
      <w:rPr>
        <w:rFonts w:hint="default"/>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BB783D"/>
    <w:multiLevelType w:val="hybridMultilevel"/>
    <w:tmpl w:val="6518E4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55250C"/>
    <w:multiLevelType w:val="multilevel"/>
    <w:tmpl w:val="1ECCDF9C"/>
    <w:name w:val="Tenders"/>
    <w:lvl w:ilvl="0">
      <w:start w:val="1"/>
      <w:numFmt w:val="decimal"/>
      <w:pStyle w:val="Tendersectionlevel1"/>
      <w:lvlText w:val="%1"/>
      <w:lvlJc w:val="left"/>
      <w:pPr>
        <w:tabs>
          <w:tab w:val="num" w:pos="720"/>
        </w:tabs>
        <w:ind w:left="720" w:hanging="720"/>
      </w:pPr>
      <w:rPr>
        <w:rFonts w:ascii="Calibri" w:hAnsi="Calibri" w:hint="default"/>
        <w:b/>
        <w:sz w:val="28"/>
      </w:rPr>
    </w:lvl>
    <w:lvl w:ilvl="1">
      <w:start w:val="1"/>
      <w:numFmt w:val="decimal"/>
      <w:pStyle w:val="Tenderlevel2number"/>
      <w:lvlText w:val="%1.%2"/>
      <w:lvlJc w:val="left"/>
      <w:pPr>
        <w:tabs>
          <w:tab w:val="num" w:pos="720"/>
        </w:tabs>
        <w:ind w:left="720" w:hanging="720"/>
      </w:pPr>
      <w:rPr>
        <w:rFonts w:ascii="Calibri" w:hAnsi="Calibri" w:hint="default"/>
        <w:b w:val="0"/>
        <w:sz w:val="22"/>
      </w:rPr>
    </w:lvl>
    <w:lvl w:ilvl="2">
      <w:start w:val="1"/>
      <w:numFmt w:val="decimal"/>
      <w:pStyle w:val="Tenderlevel3number"/>
      <w:lvlText w:val="%1.%2.%3"/>
      <w:lvlJc w:val="left"/>
      <w:pPr>
        <w:tabs>
          <w:tab w:val="num" w:pos="720"/>
        </w:tabs>
        <w:ind w:left="720" w:hanging="720"/>
      </w:pPr>
      <w:rPr>
        <w:rFonts w:ascii="Calibri" w:hAnsi="Calibri" w:hint="default"/>
        <w:b w:val="0"/>
        <w:sz w:val="22"/>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2" w15:restartNumberingAfterBreak="0">
    <w:nsid w:val="14C03CA0"/>
    <w:multiLevelType w:val="hybridMultilevel"/>
    <w:tmpl w:val="4A2E4F8C"/>
    <w:name w:val="Table Bullet"/>
    <w:lvl w:ilvl="0" w:tplc="DA92AB40">
      <w:start w:val="1"/>
      <w:numFmt w:val="bullet"/>
      <w:pStyle w:val="TableBullet"/>
      <w:lvlText w:val="·"/>
      <w:lvlJc w:val="left"/>
      <w:pPr>
        <w:tabs>
          <w:tab w:val="num" w:pos="288"/>
        </w:tabs>
        <w:ind w:left="288" w:hanging="288"/>
      </w:pPr>
      <w:rPr>
        <w:rFonts w:ascii="Symbol" w:hAnsi="Symbol" w:hint="default"/>
        <w:b w:val="0"/>
        <w:color w:val="auto"/>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632C7"/>
    <w:multiLevelType w:val="hybridMultilevel"/>
    <w:tmpl w:val="F5C298EE"/>
    <w:name w:val="Table Bullet 2"/>
    <w:lvl w:ilvl="0" w:tplc="89FC01F2">
      <w:start w:val="1"/>
      <w:numFmt w:val="bullet"/>
      <w:pStyle w:val="TableBullet2"/>
      <w:lvlText w:val="-"/>
      <w:lvlJc w:val="left"/>
      <w:pPr>
        <w:tabs>
          <w:tab w:val="num" w:pos="576"/>
        </w:tabs>
        <w:ind w:left="576" w:hanging="288"/>
      </w:pPr>
      <w:rPr>
        <w:rFonts w:ascii="Calibri" w:hAnsi="Calibri" w:hint="default"/>
        <w:b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904574"/>
    <w:multiLevelType w:val="multilevel"/>
    <w:tmpl w:val="9E20B66C"/>
    <w:name w:val="Tender_Bullet"/>
    <w:lvl w:ilvl="0">
      <w:start w:val="1"/>
      <w:numFmt w:val="bullet"/>
      <w:pStyle w:val="TenderBullet"/>
      <w:lvlText w:val="·"/>
      <w:lvlJc w:val="left"/>
      <w:pPr>
        <w:tabs>
          <w:tab w:val="num" w:pos="720"/>
        </w:tabs>
        <w:ind w:left="720" w:hanging="720"/>
      </w:pPr>
      <w:rPr>
        <w:rFonts w:ascii="Symbol" w:hAnsi="Symbol" w:hint="default"/>
        <w:b w:val="0"/>
        <w:color w:val="E31B23"/>
        <w:sz w:val="22"/>
      </w:rPr>
    </w:lvl>
    <w:lvl w:ilvl="1">
      <w:start w:val="1"/>
      <w:numFmt w:val="bullet"/>
      <w:pStyle w:val="TenderBullet2"/>
      <w:lvlText w:val="-"/>
      <w:lvlJc w:val="left"/>
      <w:pPr>
        <w:tabs>
          <w:tab w:val="num" w:pos="1440"/>
        </w:tabs>
        <w:ind w:left="1440" w:hanging="720"/>
      </w:pPr>
      <w:rPr>
        <w:rFonts w:ascii="Calibri" w:hAnsi="Calibri" w:hint="default"/>
        <w:b w:val="0"/>
        <w:color w:val="E00047"/>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0E82F3A"/>
    <w:multiLevelType w:val="hybridMultilevel"/>
    <w:tmpl w:val="1DF80854"/>
    <w:lvl w:ilvl="0" w:tplc="1C6830BE">
      <w:start w:val="1"/>
      <w:numFmt w:val="decimal"/>
      <w:pStyle w:val="ScheduleHeading-Single"/>
      <w:lvlText w:val="Schedule"/>
      <w:lvlJc w:val="left"/>
      <w:pPr>
        <w:tabs>
          <w:tab w:val="num" w:pos="720"/>
        </w:tabs>
        <w:ind w:left="720" w:hanging="720"/>
      </w:pPr>
      <w:rPr>
        <w:color w:val="000000"/>
      </w:rPr>
    </w:lvl>
    <w:lvl w:ilvl="1" w:tplc="5A1AE9B6" w:tentative="1">
      <w:start w:val="1"/>
      <w:numFmt w:val="lowerLetter"/>
      <w:lvlText w:val="%2."/>
      <w:lvlJc w:val="left"/>
      <w:pPr>
        <w:tabs>
          <w:tab w:val="num" w:pos="1440"/>
        </w:tabs>
        <w:ind w:left="1440" w:hanging="360"/>
      </w:pPr>
    </w:lvl>
    <w:lvl w:ilvl="2" w:tplc="8FBA7EB8" w:tentative="1">
      <w:start w:val="1"/>
      <w:numFmt w:val="lowerRoman"/>
      <w:lvlText w:val="%3."/>
      <w:lvlJc w:val="right"/>
      <w:pPr>
        <w:tabs>
          <w:tab w:val="num" w:pos="2160"/>
        </w:tabs>
        <w:ind w:left="2160" w:hanging="180"/>
      </w:pPr>
    </w:lvl>
    <w:lvl w:ilvl="3" w:tplc="B5981AB2" w:tentative="1">
      <w:start w:val="1"/>
      <w:numFmt w:val="decimal"/>
      <w:lvlText w:val="%4."/>
      <w:lvlJc w:val="left"/>
      <w:pPr>
        <w:tabs>
          <w:tab w:val="num" w:pos="2880"/>
        </w:tabs>
        <w:ind w:left="2880" w:hanging="360"/>
      </w:pPr>
    </w:lvl>
    <w:lvl w:ilvl="4" w:tplc="9AA64B50" w:tentative="1">
      <w:start w:val="1"/>
      <w:numFmt w:val="lowerLetter"/>
      <w:lvlText w:val="%5."/>
      <w:lvlJc w:val="left"/>
      <w:pPr>
        <w:tabs>
          <w:tab w:val="num" w:pos="3600"/>
        </w:tabs>
        <w:ind w:left="3600" w:hanging="360"/>
      </w:pPr>
    </w:lvl>
    <w:lvl w:ilvl="5" w:tplc="A838D9E6" w:tentative="1">
      <w:start w:val="1"/>
      <w:numFmt w:val="lowerRoman"/>
      <w:lvlText w:val="%6."/>
      <w:lvlJc w:val="right"/>
      <w:pPr>
        <w:tabs>
          <w:tab w:val="num" w:pos="4320"/>
        </w:tabs>
        <w:ind w:left="4320" w:hanging="180"/>
      </w:pPr>
    </w:lvl>
    <w:lvl w:ilvl="6" w:tplc="FBC42604" w:tentative="1">
      <w:start w:val="1"/>
      <w:numFmt w:val="decimal"/>
      <w:lvlText w:val="%7."/>
      <w:lvlJc w:val="left"/>
      <w:pPr>
        <w:tabs>
          <w:tab w:val="num" w:pos="5040"/>
        </w:tabs>
        <w:ind w:left="5040" w:hanging="360"/>
      </w:pPr>
    </w:lvl>
    <w:lvl w:ilvl="7" w:tplc="A9E6774E" w:tentative="1">
      <w:start w:val="1"/>
      <w:numFmt w:val="lowerLetter"/>
      <w:lvlText w:val="%8."/>
      <w:lvlJc w:val="left"/>
      <w:pPr>
        <w:tabs>
          <w:tab w:val="num" w:pos="5760"/>
        </w:tabs>
        <w:ind w:left="5760" w:hanging="360"/>
      </w:pPr>
    </w:lvl>
    <w:lvl w:ilvl="8" w:tplc="5CFA37AC" w:tentative="1">
      <w:start w:val="1"/>
      <w:numFmt w:val="lowerRoman"/>
      <w:lvlText w:val="%9."/>
      <w:lvlJc w:val="right"/>
      <w:pPr>
        <w:tabs>
          <w:tab w:val="num" w:pos="6480"/>
        </w:tabs>
        <w:ind w:left="6480" w:hanging="180"/>
      </w:pPr>
    </w:lvl>
  </w:abstractNum>
  <w:abstractNum w:abstractNumId="16" w15:restartNumberingAfterBreak="0">
    <w:nsid w:val="21F03D7D"/>
    <w:multiLevelType w:val="hybridMultilevel"/>
    <w:tmpl w:val="1D6032F4"/>
    <w:lvl w:ilvl="0" w:tplc="1D76C13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177482"/>
    <w:multiLevelType w:val="hybridMultilevel"/>
    <w:tmpl w:val="C690F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B00E4C"/>
    <w:multiLevelType w:val="hybridMultilevel"/>
    <w:tmpl w:val="97C4AA26"/>
    <w:lvl w:ilvl="0" w:tplc="F048AF82">
      <w:start w:val="1"/>
      <w:numFmt w:val="upperLetter"/>
      <w:pStyle w:val="Annex"/>
      <w:lvlText w:val="ANNEX %1"/>
      <w:lvlJc w:val="left"/>
      <w:pPr>
        <w:ind w:left="720" w:hanging="360"/>
      </w:pPr>
      <w:rPr>
        <w:rFonts w:cs="Times New Roman" w:hint="default"/>
        <w:b/>
        <w:bCs w:val="0"/>
        <w:i w:val="0"/>
        <w:iCs w:val="0"/>
        <w: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ACF485B8" w:tentative="1">
      <w:start w:val="1"/>
      <w:numFmt w:val="lowerLetter"/>
      <w:lvlText w:val="%2."/>
      <w:lvlJc w:val="left"/>
      <w:pPr>
        <w:ind w:left="1440" w:hanging="360"/>
      </w:pPr>
    </w:lvl>
    <w:lvl w:ilvl="2" w:tplc="6C8E0064" w:tentative="1">
      <w:start w:val="1"/>
      <w:numFmt w:val="lowerRoman"/>
      <w:lvlText w:val="%3."/>
      <w:lvlJc w:val="right"/>
      <w:pPr>
        <w:ind w:left="2160" w:hanging="180"/>
      </w:pPr>
    </w:lvl>
    <w:lvl w:ilvl="3" w:tplc="604A88EE" w:tentative="1">
      <w:start w:val="1"/>
      <w:numFmt w:val="decimal"/>
      <w:lvlText w:val="%4."/>
      <w:lvlJc w:val="left"/>
      <w:pPr>
        <w:ind w:left="2880" w:hanging="360"/>
      </w:pPr>
    </w:lvl>
    <w:lvl w:ilvl="4" w:tplc="9196C9F2" w:tentative="1">
      <w:start w:val="1"/>
      <w:numFmt w:val="lowerLetter"/>
      <w:lvlText w:val="%5."/>
      <w:lvlJc w:val="left"/>
      <w:pPr>
        <w:ind w:left="3600" w:hanging="360"/>
      </w:pPr>
    </w:lvl>
    <w:lvl w:ilvl="5" w:tplc="CF5800C6" w:tentative="1">
      <w:start w:val="1"/>
      <w:numFmt w:val="lowerRoman"/>
      <w:lvlText w:val="%6."/>
      <w:lvlJc w:val="right"/>
      <w:pPr>
        <w:ind w:left="4320" w:hanging="180"/>
      </w:pPr>
    </w:lvl>
    <w:lvl w:ilvl="6" w:tplc="E966A75A" w:tentative="1">
      <w:start w:val="1"/>
      <w:numFmt w:val="decimal"/>
      <w:lvlText w:val="%7."/>
      <w:lvlJc w:val="left"/>
      <w:pPr>
        <w:ind w:left="5040" w:hanging="360"/>
      </w:pPr>
    </w:lvl>
    <w:lvl w:ilvl="7" w:tplc="C15C9C40" w:tentative="1">
      <w:start w:val="1"/>
      <w:numFmt w:val="lowerLetter"/>
      <w:lvlText w:val="%8."/>
      <w:lvlJc w:val="left"/>
      <w:pPr>
        <w:ind w:left="5760" w:hanging="360"/>
      </w:pPr>
    </w:lvl>
    <w:lvl w:ilvl="8" w:tplc="AB9E409C" w:tentative="1">
      <w:start w:val="1"/>
      <w:numFmt w:val="lowerRoman"/>
      <w:lvlText w:val="%9."/>
      <w:lvlJc w:val="right"/>
      <w:pPr>
        <w:ind w:left="6480" w:hanging="180"/>
      </w:pPr>
    </w:lvl>
  </w:abstractNum>
  <w:abstractNum w:abstractNumId="19" w15:restartNumberingAfterBreak="0">
    <w:nsid w:val="26A241A5"/>
    <w:multiLevelType w:val="multilevel"/>
    <w:tmpl w:val="15A6060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9C94F29"/>
    <w:multiLevelType w:val="hybridMultilevel"/>
    <w:tmpl w:val="4CBC2A34"/>
    <w:lvl w:ilvl="0" w:tplc="FD960D80">
      <w:start w:val="1"/>
      <w:numFmt w:val="decimal"/>
      <w:pStyle w:val="QuestionParagraph"/>
      <w:lvlText w:val="%1."/>
      <w:lvlJc w:val="left"/>
      <w:pPr>
        <w:ind w:left="720" w:hanging="360"/>
      </w:pPr>
      <w:rPr>
        <w:color w:val="000000"/>
      </w:rPr>
    </w:lvl>
    <w:lvl w:ilvl="1" w:tplc="6E54ED42" w:tentative="1">
      <w:start w:val="1"/>
      <w:numFmt w:val="lowerLetter"/>
      <w:lvlText w:val="%2."/>
      <w:lvlJc w:val="left"/>
      <w:pPr>
        <w:ind w:left="1440" w:hanging="360"/>
      </w:pPr>
    </w:lvl>
    <w:lvl w:ilvl="2" w:tplc="A1DA98DE" w:tentative="1">
      <w:start w:val="1"/>
      <w:numFmt w:val="lowerRoman"/>
      <w:lvlText w:val="%3."/>
      <w:lvlJc w:val="right"/>
      <w:pPr>
        <w:ind w:left="2160" w:hanging="180"/>
      </w:pPr>
    </w:lvl>
    <w:lvl w:ilvl="3" w:tplc="E53839F6" w:tentative="1">
      <w:start w:val="1"/>
      <w:numFmt w:val="decimal"/>
      <w:lvlText w:val="%4."/>
      <w:lvlJc w:val="left"/>
      <w:pPr>
        <w:ind w:left="2880" w:hanging="360"/>
      </w:pPr>
    </w:lvl>
    <w:lvl w:ilvl="4" w:tplc="F45865D8" w:tentative="1">
      <w:start w:val="1"/>
      <w:numFmt w:val="lowerLetter"/>
      <w:lvlText w:val="%5."/>
      <w:lvlJc w:val="left"/>
      <w:pPr>
        <w:ind w:left="3600" w:hanging="360"/>
      </w:pPr>
    </w:lvl>
    <w:lvl w:ilvl="5" w:tplc="ADCAD14A" w:tentative="1">
      <w:start w:val="1"/>
      <w:numFmt w:val="lowerRoman"/>
      <w:lvlText w:val="%6."/>
      <w:lvlJc w:val="right"/>
      <w:pPr>
        <w:ind w:left="4320" w:hanging="180"/>
      </w:pPr>
    </w:lvl>
    <w:lvl w:ilvl="6" w:tplc="AF2E138E" w:tentative="1">
      <w:start w:val="1"/>
      <w:numFmt w:val="decimal"/>
      <w:lvlText w:val="%7."/>
      <w:lvlJc w:val="left"/>
      <w:pPr>
        <w:ind w:left="5040" w:hanging="360"/>
      </w:pPr>
    </w:lvl>
    <w:lvl w:ilvl="7" w:tplc="AB22CE94" w:tentative="1">
      <w:start w:val="1"/>
      <w:numFmt w:val="lowerLetter"/>
      <w:lvlText w:val="%8."/>
      <w:lvlJc w:val="left"/>
      <w:pPr>
        <w:ind w:left="5760" w:hanging="360"/>
      </w:pPr>
    </w:lvl>
    <w:lvl w:ilvl="8" w:tplc="906A9F9E" w:tentative="1">
      <w:start w:val="1"/>
      <w:numFmt w:val="lowerRoman"/>
      <w:lvlText w:val="%9."/>
      <w:lvlJc w:val="right"/>
      <w:pPr>
        <w:ind w:left="6480" w:hanging="180"/>
      </w:pPr>
    </w:lvl>
  </w:abstractNum>
  <w:abstractNum w:abstractNumId="21" w15:restartNumberingAfterBreak="0">
    <w:nsid w:val="2F5040C4"/>
    <w:multiLevelType w:val="multilevel"/>
    <w:tmpl w:val="AA3649DA"/>
    <w:name w:val="Independent_List"/>
    <w:lvl w:ilvl="0">
      <w:start w:val="1"/>
      <w:numFmt w:val="lowerLetter"/>
      <w:pStyle w:val="Independentlista"/>
      <w:lvlText w:val="%1)"/>
      <w:lvlJc w:val="left"/>
      <w:pPr>
        <w:tabs>
          <w:tab w:val="num" w:pos="720"/>
        </w:tabs>
        <w:ind w:left="720" w:hanging="720"/>
      </w:pPr>
      <w:rPr>
        <w:rFonts w:ascii="Arial" w:hAnsi="Arial" w:cs="Arial" w:hint="default"/>
        <w:b w:val="0"/>
        <w:sz w:val="20"/>
      </w:rPr>
    </w:lvl>
    <w:lvl w:ilvl="1">
      <w:start w:val="1"/>
      <w:numFmt w:val="lowerRoman"/>
      <w:lvlText w:val="%2)"/>
      <w:lvlJc w:val="left"/>
      <w:pPr>
        <w:tabs>
          <w:tab w:val="num" w:pos="1440"/>
        </w:tabs>
        <w:ind w:left="1440" w:hanging="720"/>
      </w:pPr>
      <w:rPr>
        <w:rFonts w:hint="default"/>
      </w:rPr>
    </w:lvl>
    <w:lvl w:ilvl="2">
      <w:start w:val="1"/>
      <w:numFmt w:val="none"/>
      <w:lvlText w:val="(%3)"/>
      <w:lvlJc w:val="left"/>
      <w:pPr>
        <w:tabs>
          <w:tab w:val="num" w:pos="2160"/>
        </w:tabs>
        <w:ind w:left="2160" w:hanging="720"/>
      </w:pPr>
      <w:rPr>
        <w:rFonts w:hint="default"/>
      </w:rPr>
    </w:lvl>
    <w:lvl w:ilvl="3">
      <w:start w:val="1"/>
      <w:numFmt w:val="none"/>
      <w:lvlText w:val="(%4)"/>
      <w:lvlJc w:val="left"/>
      <w:pPr>
        <w:tabs>
          <w:tab w:val="num" w:pos="2160"/>
        </w:tabs>
        <w:ind w:left="2160" w:hanging="720"/>
      </w:pPr>
      <w:rPr>
        <w:rFonts w:hint="default"/>
      </w:rPr>
    </w:lvl>
    <w:lvl w:ilvl="4">
      <w:start w:val="1"/>
      <w:numFmt w:val="none"/>
      <w:lvlText w:val="(%5)"/>
      <w:lvlJc w:val="left"/>
      <w:pPr>
        <w:tabs>
          <w:tab w:val="num" w:pos="2880"/>
        </w:tabs>
        <w:ind w:left="2880" w:hanging="72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22" w15:restartNumberingAfterBreak="0">
    <w:nsid w:val="309860E2"/>
    <w:multiLevelType w:val="multilevel"/>
    <w:tmpl w:val="6B867B82"/>
    <w:name w:val="Table_number"/>
    <w:lvl w:ilvl="0">
      <w:start w:val="1"/>
      <w:numFmt w:val="decimal"/>
      <w:pStyle w:val="Tablenumber1"/>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ablenumber2"/>
      <w:lvlText w:val="%1.%2"/>
      <w:lvlJc w:val="left"/>
      <w:pPr>
        <w:tabs>
          <w:tab w:val="num" w:pos="720"/>
        </w:tabs>
        <w:ind w:left="720" w:hanging="720"/>
      </w:pPr>
      <w:rPr>
        <w:rFonts w:ascii="Arial" w:hAnsi="Arial" w:cs="Arial" w:hint="default"/>
        <w:b w:val="0"/>
        <w:i w:val="0"/>
        <w:caps w:val="0"/>
        <w:sz w:val="20"/>
        <w:szCs w:val="22"/>
      </w:rPr>
    </w:lvl>
    <w:lvl w:ilvl="2">
      <w:start w:val="1"/>
      <w:numFmt w:val="decimal"/>
      <w:pStyle w:val="Tablenumber3"/>
      <w:lvlText w:val="%1.%2.%3"/>
      <w:lvlJc w:val="left"/>
      <w:pPr>
        <w:tabs>
          <w:tab w:val="num" w:pos="720"/>
        </w:tabs>
        <w:ind w:left="720" w:hanging="720"/>
      </w:pPr>
      <w:rPr>
        <w:rFonts w:ascii="Arial" w:hAnsi="Arial" w:cs="Arial" w:hint="default"/>
        <w:b w:val="0"/>
        <w:i w:val="0"/>
        <w:sz w:val="20"/>
        <w:szCs w:val="22"/>
      </w:rPr>
    </w:lvl>
    <w:lvl w:ilvl="3">
      <w:start w:val="1"/>
      <w:numFmt w:val="lowerLetter"/>
      <w:pStyle w:val="Tablenumber4"/>
      <w:lvlText w:val="%4)"/>
      <w:lvlJc w:val="left"/>
      <w:pPr>
        <w:tabs>
          <w:tab w:val="num" w:pos="1440"/>
        </w:tabs>
        <w:ind w:left="1440" w:hanging="720"/>
      </w:pPr>
      <w:rPr>
        <w:rFonts w:ascii="Arial" w:hAnsi="Arial" w:cs="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0"/>
        <w:szCs w:val="22"/>
      </w:rPr>
    </w:lvl>
    <w:lvl w:ilvl="5">
      <w:start w:val="1"/>
      <w:numFmt w:val="upperLetter"/>
      <w:lvlText w:val="(%6)"/>
      <w:lvlJc w:val="left"/>
      <w:pPr>
        <w:tabs>
          <w:tab w:val="num" w:pos="3600"/>
        </w:tabs>
        <w:ind w:left="3600" w:hanging="720"/>
      </w:pPr>
      <w:rPr>
        <w:rFonts w:ascii="Times New Roman" w:hAnsi="Times New Roman" w:hint="default"/>
        <w:b w:val="0"/>
        <w:i w:val="0"/>
        <w:sz w:val="20"/>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0"/>
      </w:rPr>
    </w:lvl>
    <w:lvl w:ilvl="8">
      <w:start w:val="1"/>
      <w:numFmt w:val="lowerRoman"/>
      <w:lvlText w:val="%9)"/>
      <w:lvlJc w:val="left"/>
      <w:pPr>
        <w:tabs>
          <w:tab w:val="num" w:pos="5760"/>
        </w:tabs>
        <w:ind w:left="5760" w:hanging="720"/>
      </w:pPr>
      <w:rPr>
        <w:rFonts w:ascii="Times New Roman" w:hAnsi="Times New Roman" w:hint="default"/>
        <w:b w:val="0"/>
        <w:i w:val="0"/>
        <w:sz w:val="20"/>
      </w:rPr>
    </w:lvl>
  </w:abstractNum>
  <w:abstractNum w:abstractNumId="23" w15:restartNumberingAfterBreak="0">
    <w:nsid w:val="310416CA"/>
    <w:multiLevelType w:val="hybridMultilevel"/>
    <w:tmpl w:val="072EDEC8"/>
    <w:lvl w:ilvl="0" w:tplc="3D926338">
      <w:start w:val="1"/>
      <w:numFmt w:val="bullet"/>
      <w:pStyle w:val="subclause2Bullet2"/>
      <w:lvlText w:val=""/>
      <w:lvlJc w:val="left"/>
      <w:pPr>
        <w:ind w:left="2279" w:hanging="360"/>
      </w:pPr>
      <w:rPr>
        <w:rFonts w:ascii="Symbol" w:hAnsi="Symbol" w:hint="default"/>
        <w:color w:val="000000"/>
      </w:rPr>
    </w:lvl>
    <w:lvl w:ilvl="1" w:tplc="BBF8C70A" w:tentative="1">
      <w:start w:val="1"/>
      <w:numFmt w:val="bullet"/>
      <w:lvlText w:val="o"/>
      <w:lvlJc w:val="left"/>
      <w:pPr>
        <w:ind w:left="2999" w:hanging="360"/>
      </w:pPr>
      <w:rPr>
        <w:rFonts w:ascii="Courier New" w:hAnsi="Courier New" w:cs="Courier New" w:hint="default"/>
      </w:rPr>
    </w:lvl>
    <w:lvl w:ilvl="2" w:tplc="532877AC" w:tentative="1">
      <w:start w:val="1"/>
      <w:numFmt w:val="bullet"/>
      <w:lvlText w:val=""/>
      <w:lvlJc w:val="left"/>
      <w:pPr>
        <w:ind w:left="3719" w:hanging="360"/>
      </w:pPr>
      <w:rPr>
        <w:rFonts w:ascii="Wingdings" w:hAnsi="Wingdings" w:hint="default"/>
      </w:rPr>
    </w:lvl>
    <w:lvl w:ilvl="3" w:tplc="960E1B18" w:tentative="1">
      <w:start w:val="1"/>
      <w:numFmt w:val="bullet"/>
      <w:lvlText w:val=""/>
      <w:lvlJc w:val="left"/>
      <w:pPr>
        <w:ind w:left="4439" w:hanging="360"/>
      </w:pPr>
      <w:rPr>
        <w:rFonts w:ascii="Symbol" w:hAnsi="Symbol" w:hint="default"/>
      </w:rPr>
    </w:lvl>
    <w:lvl w:ilvl="4" w:tplc="BA94531E" w:tentative="1">
      <w:start w:val="1"/>
      <w:numFmt w:val="bullet"/>
      <w:lvlText w:val="o"/>
      <w:lvlJc w:val="left"/>
      <w:pPr>
        <w:ind w:left="5159" w:hanging="360"/>
      </w:pPr>
      <w:rPr>
        <w:rFonts w:ascii="Courier New" w:hAnsi="Courier New" w:cs="Courier New" w:hint="default"/>
      </w:rPr>
    </w:lvl>
    <w:lvl w:ilvl="5" w:tplc="32683454" w:tentative="1">
      <w:start w:val="1"/>
      <w:numFmt w:val="bullet"/>
      <w:lvlText w:val=""/>
      <w:lvlJc w:val="left"/>
      <w:pPr>
        <w:ind w:left="5879" w:hanging="360"/>
      </w:pPr>
      <w:rPr>
        <w:rFonts w:ascii="Wingdings" w:hAnsi="Wingdings" w:hint="default"/>
      </w:rPr>
    </w:lvl>
    <w:lvl w:ilvl="6" w:tplc="D3200ED6" w:tentative="1">
      <w:start w:val="1"/>
      <w:numFmt w:val="bullet"/>
      <w:lvlText w:val=""/>
      <w:lvlJc w:val="left"/>
      <w:pPr>
        <w:ind w:left="6599" w:hanging="360"/>
      </w:pPr>
      <w:rPr>
        <w:rFonts w:ascii="Symbol" w:hAnsi="Symbol" w:hint="default"/>
      </w:rPr>
    </w:lvl>
    <w:lvl w:ilvl="7" w:tplc="6518BE68" w:tentative="1">
      <w:start w:val="1"/>
      <w:numFmt w:val="bullet"/>
      <w:lvlText w:val="o"/>
      <w:lvlJc w:val="left"/>
      <w:pPr>
        <w:ind w:left="7319" w:hanging="360"/>
      </w:pPr>
      <w:rPr>
        <w:rFonts w:ascii="Courier New" w:hAnsi="Courier New" w:cs="Courier New" w:hint="default"/>
      </w:rPr>
    </w:lvl>
    <w:lvl w:ilvl="8" w:tplc="56B24B16" w:tentative="1">
      <w:start w:val="1"/>
      <w:numFmt w:val="bullet"/>
      <w:lvlText w:val=""/>
      <w:lvlJc w:val="left"/>
      <w:pPr>
        <w:ind w:left="8039" w:hanging="360"/>
      </w:pPr>
      <w:rPr>
        <w:rFonts w:ascii="Wingdings" w:hAnsi="Wingdings" w:hint="default"/>
      </w:rPr>
    </w:lvl>
  </w:abstractNum>
  <w:abstractNum w:abstractNumId="24" w15:restartNumberingAfterBreak="0">
    <w:nsid w:val="31FA7AF5"/>
    <w:multiLevelType w:val="hybridMultilevel"/>
    <w:tmpl w:val="DE5E40E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3CC668D"/>
    <w:multiLevelType w:val="hybridMultilevel"/>
    <w:tmpl w:val="594C4DAE"/>
    <w:lvl w:ilvl="0" w:tplc="DEA26CAA">
      <w:start w:val="1"/>
      <w:numFmt w:val="bullet"/>
      <w:pStyle w:val="Bullet4"/>
      <w:lvlText w:val=""/>
      <w:lvlJc w:val="left"/>
      <w:pPr>
        <w:tabs>
          <w:tab w:val="num" w:pos="2676"/>
        </w:tabs>
        <w:ind w:left="2676" w:hanging="357"/>
      </w:pPr>
      <w:rPr>
        <w:rFonts w:ascii="Symbol" w:hAnsi="Symbol" w:hint="default"/>
        <w:color w:val="000000"/>
      </w:rPr>
    </w:lvl>
    <w:lvl w:ilvl="1" w:tplc="4EEC0FB4" w:tentative="1">
      <w:start w:val="1"/>
      <w:numFmt w:val="bullet"/>
      <w:lvlText w:val="o"/>
      <w:lvlJc w:val="left"/>
      <w:pPr>
        <w:tabs>
          <w:tab w:val="num" w:pos="1440"/>
        </w:tabs>
        <w:ind w:left="1440" w:hanging="360"/>
      </w:pPr>
      <w:rPr>
        <w:rFonts w:ascii="Courier New" w:hAnsi="Courier New" w:cs="Courier New" w:hint="default"/>
      </w:rPr>
    </w:lvl>
    <w:lvl w:ilvl="2" w:tplc="AD42472E" w:tentative="1">
      <w:start w:val="1"/>
      <w:numFmt w:val="bullet"/>
      <w:lvlText w:val=""/>
      <w:lvlJc w:val="left"/>
      <w:pPr>
        <w:tabs>
          <w:tab w:val="num" w:pos="2160"/>
        </w:tabs>
        <w:ind w:left="2160" w:hanging="360"/>
      </w:pPr>
      <w:rPr>
        <w:rFonts w:ascii="Wingdings" w:hAnsi="Wingdings" w:hint="default"/>
      </w:rPr>
    </w:lvl>
    <w:lvl w:ilvl="3" w:tplc="36501166" w:tentative="1">
      <w:start w:val="1"/>
      <w:numFmt w:val="bullet"/>
      <w:lvlText w:val=""/>
      <w:lvlJc w:val="left"/>
      <w:pPr>
        <w:tabs>
          <w:tab w:val="num" w:pos="2880"/>
        </w:tabs>
        <w:ind w:left="2880" w:hanging="360"/>
      </w:pPr>
      <w:rPr>
        <w:rFonts w:ascii="Symbol" w:hAnsi="Symbol" w:hint="default"/>
      </w:rPr>
    </w:lvl>
    <w:lvl w:ilvl="4" w:tplc="F9CA7F02" w:tentative="1">
      <w:start w:val="1"/>
      <w:numFmt w:val="bullet"/>
      <w:lvlText w:val="o"/>
      <w:lvlJc w:val="left"/>
      <w:pPr>
        <w:tabs>
          <w:tab w:val="num" w:pos="3600"/>
        </w:tabs>
        <w:ind w:left="3600" w:hanging="360"/>
      </w:pPr>
      <w:rPr>
        <w:rFonts w:ascii="Courier New" w:hAnsi="Courier New" w:cs="Courier New" w:hint="default"/>
      </w:rPr>
    </w:lvl>
    <w:lvl w:ilvl="5" w:tplc="1464A9AE" w:tentative="1">
      <w:start w:val="1"/>
      <w:numFmt w:val="bullet"/>
      <w:lvlText w:val=""/>
      <w:lvlJc w:val="left"/>
      <w:pPr>
        <w:tabs>
          <w:tab w:val="num" w:pos="4320"/>
        </w:tabs>
        <w:ind w:left="4320" w:hanging="360"/>
      </w:pPr>
      <w:rPr>
        <w:rFonts w:ascii="Wingdings" w:hAnsi="Wingdings" w:hint="default"/>
      </w:rPr>
    </w:lvl>
    <w:lvl w:ilvl="6" w:tplc="08644EC4" w:tentative="1">
      <w:start w:val="1"/>
      <w:numFmt w:val="bullet"/>
      <w:lvlText w:val=""/>
      <w:lvlJc w:val="left"/>
      <w:pPr>
        <w:tabs>
          <w:tab w:val="num" w:pos="5040"/>
        </w:tabs>
        <w:ind w:left="5040" w:hanging="360"/>
      </w:pPr>
      <w:rPr>
        <w:rFonts w:ascii="Symbol" w:hAnsi="Symbol" w:hint="default"/>
      </w:rPr>
    </w:lvl>
    <w:lvl w:ilvl="7" w:tplc="0E8ECD64" w:tentative="1">
      <w:start w:val="1"/>
      <w:numFmt w:val="bullet"/>
      <w:lvlText w:val="o"/>
      <w:lvlJc w:val="left"/>
      <w:pPr>
        <w:tabs>
          <w:tab w:val="num" w:pos="5760"/>
        </w:tabs>
        <w:ind w:left="5760" w:hanging="360"/>
      </w:pPr>
      <w:rPr>
        <w:rFonts w:ascii="Courier New" w:hAnsi="Courier New" w:cs="Courier New" w:hint="default"/>
      </w:rPr>
    </w:lvl>
    <w:lvl w:ilvl="8" w:tplc="01A6A13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66CA9"/>
    <w:multiLevelType w:val="hybridMultilevel"/>
    <w:tmpl w:val="DE96D14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35040CEC"/>
    <w:multiLevelType w:val="multilevel"/>
    <w:tmpl w:val="AC32934E"/>
    <w:name w:val="Schedules"/>
    <w:lvl w:ilvl="0">
      <w:start w:val="1"/>
      <w:numFmt w:val="decimal"/>
      <w:pStyle w:val="Schedule"/>
      <w:lvlText w:val="Schedule %1"/>
      <w:lvlJc w:val="left"/>
      <w:pPr>
        <w:tabs>
          <w:tab w:val="num" w:pos="720"/>
        </w:tabs>
        <w:ind w:left="720" w:hanging="720"/>
      </w:pPr>
      <w:rPr>
        <w:rFonts w:ascii="Arial" w:hAnsi="Arial" w:cs="Arial" w:hint="default"/>
        <w:b/>
        <w:caps w:val="0"/>
        <w:sz w:val="24"/>
        <w:szCs w:val="24"/>
      </w:rPr>
    </w:lvl>
    <w:lvl w:ilvl="1">
      <w:numFmt w:val="decimal"/>
      <w:pStyle w:val="SubSchedule"/>
      <w:lvlText w:val="Sub Schedule %2"/>
      <w:lvlJc w:val="left"/>
      <w:pPr>
        <w:tabs>
          <w:tab w:val="num" w:pos="720"/>
        </w:tabs>
        <w:ind w:left="72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Part %3"/>
      <w:lvlJc w:val="left"/>
      <w:pPr>
        <w:tabs>
          <w:tab w:val="num" w:pos="720"/>
        </w:tabs>
        <w:ind w:left="720" w:hanging="720"/>
      </w:pPr>
      <w:rPr>
        <w:rFonts w:ascii="Calibri" w:hAnsi="Calibri" w:hint="default"/>
        <w:b/>
        <w:sz w:val="24"/>
      </w:rPr>
    </w:lvl>
    <w:lvl w:ilvl="3">
      <w:start w:val="1"/>
      <w:numFmt w:val="decimal"/>
      <w:pStyle w:val="Sch1Heading"/>
      <w:lvlText w:val="%4"/>
      <w:lvlJc w:val="left"/>
      <w:pPr>
        <w:tabs>
          <w:tab w:val="num" w:pos="720"/>
        </w:tabs>
        <w:ind w:left="720" w:hanging="720"/>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ch2Number"/>
      <w:lvlText w:val="%4.%5"/>
      <w:lvlJc w:val="left"/>
      <w:pPr>
        <w:tabs>
          <w:tab w:val="num" w:pos="1440"/>
        </w:tabs>
        <w:ind w:left="1440" w:hanging="720"/>
      </w:pPr>
      <w:rPr>
        <w:rFonts w:ascii="Arial" w:hAnsi="Arial" w:cs="Arial" w:hint="default"/>
        <w:b w:val="0"/>
        <w:i w:val="0"/>
        <w:sz w:val="20"/>
      </w:rPr>
    </w:lvl>
    <w:lvl w:ilvl="5">
      <w:start w:val="1"/>
      <w:numFmt w:val="lowerLetter"/>
      <w:pStyle w:val="Sch3Number"/>
      <w:lvlText w:val="(%6)"/>
      <w:lvlJc w:val="left"/>
      <w:pPr>
        <w:tabs>
          <w:tab w:val="num" w:pos="2160"/>
        </w:tabs>
        <w:ind w:left="2160" w:hanging="720"/>
      </w:pPr>
      <w:rPr>
        <w:rFonts w:ascii="Arial" w:hAnsi="Arial" w:cs="Arial" w:hint="default"/>
        <w:b w:val="0"/>
        <w:i w:val="0"/>
        <w:sz w:val="20"/>
      </w:rPr>
    </w:lvl>
    <w:lvl w:ilvl="6">
      <w:start w:val="1"/>
      <w:numFmt w:val="lowerRoman"/>
      <w:pStyle w:val="Sch4Number"/>
      <w:lvlText w:val="(%7)"/>
      <w:lvlJc w:val="left"/>
      <w:pPr>
        <w:tabs>
          <w:tab w:val="num" w:pos="2880"/>
        </w:tabs>
        <w:ind w:left="2880" w:hanging="720"/>
      </w:pPr>
      <w:rPr>
        <w:rFonts w:ascii="Arial" w:hAnsi="Arial" w:cs="Arial" w:hint="default"/>
        <w:b w:val="0"/>
        <w:i w:val="0"/>
        <w:sz w:val="20"/>
      </w:rPr>
    </w:lvl>
    <w:lvl w:ilvl="7">
      <w:start w:val="1"/>
      <w:numFmt w:val="upperLetter"/>
      <w:pStyle w:val="Sch5Number"/>
      <w:lvlText w:val="(%8)"/>
      <w:lvlJc w:val="left"/>
      <w:pPr>
        <w:tabs>
          <w:tab w:val="num" w:pos="3600"/>
        </w:tabs>
        <w:ind w:left="3600" w:hanging="720"/>
      </w:pPr>
      <w:rPr>
        <w:rFonts w:ascii="Arial" w:hAnsi="Arial" w:cs="Arial" w:hint="default"/>
        <w:b w:val="0"/>
        <w:i w:val="0"/>
        <w:sz w:val="20"/>
      </w:rPr>
    </w:lvl>
    <w:lvl w:ilvl="8">
      <w:start w:val="1"/>
      <w:numFmt w:val="decimal"/>
      <w:pStyle w:val="Sch6Number"/>
      <w:lvlText w:val="(%9)"/>
      <w:lvlJc w:val="left"/>
      <w:pPr>
        <w:tabs>
          <w:tab w:val="num" w:pos="4320"/>
        </w:tabs>
        <w:ind w:left="4320" w:hanging="720"/>
      </w:pPr>
      <w:rPr>
        <w:rFonts w:ascii="Arial" w:hAnsi="Arial" w:cs="Arial" w:hint="default"/>
        <w:b w:val="0"/>
        <w:i w:val="0"/>
        <w:sz w:val="20"/>
      </w:rPr>
    </w:lvl>
  </w:abstractNum>
  <w:abstractNum w:abstractNumId="28" w15:restartNumberingAfterBreak="0">
    <w:nsid w:val="36E3743B"/>
    <w:multiLevelType w:val="singleLevel"/>
    <w:tmpl w:val="FE302F92"/>
    <w:lvl w:ilvl="0">
      <w:start w:val="1"/>
      <w:numFmt w:val="decimal"/>
      <w:pStyle w:val="ScheduleHeading"/>
      <w:lvlText w:val="Schedule %1"/>
      <w:lvlJc w:val="left"/>
      <w:pPr>
        <w:tabs>
          <w:tab w:val="num" w:pos="1080"/>
        </w:tabs>
        <w:ind w:left="360" w:hanging="360"/>
      </w:pPr>
      <w:rPr>
        <w:rFonts w:hint="default"/>
        <w:color w:val="000000"/>
      </w:rPr>
    </w:lvl>
  </w:abstractNum>
  <w:abstractNum w:abstractNumId="29" w15:restartNumberingAfterBreak="0">
    <w:nsid w:val="38130038"/>
    <w:multiLevelType w:val="hybridMultilevel"/>
    <w:tmpl w:val="FF8A0FAE"/>
    <w:lvl w:ilvl="0" w:tplc="D6B6C02E">
      <w:start w:val="1"/>
      <w:numFmt w:val="bullet"/>
      <w:pStyle w:val="ClauseBullet2"/>
      <w:lvlText w:val=""/>
      <w:lvlJc w:val="left"/>
      <w:pPr>
        <w:ind w:left="1440" w:hanging="360"/>
      </w:pPr>
      <w:rPr>
        <w:rFonts w:ascii="Symbol" w:hAnsi="Symbol" w:hint="default"/>
        <w:color w:val="000000"/>
      </w:rPr>
    </w:lvl>
    <w:lvl w:ilvl="1" w:tplc="1A98BED8" w:tentative="1">
      <w:start w:val="1"/>
      <w:numFmt w:val="bullet"/>
      <w:lvlText w:val="o"/>
      <w:lvlJc w:val="left"/>
      <w:pPr>
        <w:ind w:left="2160" w:hanging="360"/>
      </w:pPr>
      <w:rPr>
        <w:rFonts w:ascii="Courier New" w:hAnsi="Courier New" w:cs="Courier New" w:hint="default"/>
      </w:rPr>
    </w:lvl>
    <w:lvl w:ilvl="2" w:tplc="D7CC2C68" w:tentative="1">
      <w:start w:val="1"/>
      <w:numFmt w:val="bullet"/>
      <w:lvlText w:val=""/>
      <w:lvlJc w:val="left"/>
      <w:pPr>
        <w:ind w:left="2880" w:hanging="360"/>
      </w:pPr>
      <w:rPr>
        <w:rFonts w:ascii="Wingdings" w:hAnsi="Wingdings" w:hint="default"/>
      </w:rPr>
    </w:lvl>
    <w:lvl w:ilvl="3" w:tplc="1B94466C" w:tentative="1">
      <w:start w:val="1"/>
      <w:numFmt w:val="bullet"/>
      <w:lvlText w:val=""/>
      <w:lvlJc w:val="left"/>
      <w:pPr>
        <w:ind w:left="3600" w:hanging="360"/>
      </w:pPr>
      <w:rPr>
        <w:rFonts w:ascii="Symbol" w:hAnsi="Symbol" w:hint="default"/>
      </w:rPr>
    </w:lvl>
    <w:lvl w:ilvl="4" w:tplc="2694677C" w:tentative="1">
      <w:start w:val="1"/>
      <w:numFmt w:val="bullet"/>
      <w:lvlText w:val="o"/>
      <w:lvlJc w:val="left"/>
      <w:pPr>
        <w:ind w:left="4320" w:hanging="360"/>
      </w:pPr>
      <w:rPr>
        <w:rFonts w:ascii="Courier New" w:hAnsi="Courier New" w:cs="Courier New" w:hint="default"/>
      </w:rPr>
    </w:lvl>
    <w:lvl w:ilvl="5" w:tplc="906864E2" w:tentative="1">
      <w:start w:val="1"/>
      <w:numFmt w:val="bullet"/>
      <w:lvlText w:val=""/>
      <w:lvlJc w:val="left"/>
      <w:pPr>
        <w:ind w:left="5040" w:hanging="360"/>
      </w:pPr>
      <w:rPr>
        <w:rFonts w:ascii="Wingdings" w:hAnsi="Wingdings" w:hint="default"/>
      </w:rPr>
    </w:lvl>
    <w:lvl w:ilvl="6" w:tplc="92261F7A" w:tentative="1">
      <w:start w:val="1"/>
      <w:numFmt w:val="bullet"/>
      <w:lvlText w:val=""/>
      <w:lvlJc w:val="left"/>
      <w:pPr>
        <w:ind w:left="5760" w:hanging="360"/>
      </w:pPr>
      <w:rPr>
        <w:rFonts w:ascii="Symbol" w:hAnsi="Symbol" w:hint="default"/>
      </w:rPr>
    </w:lvl>
    <w:lvl w:ilvl="7" w:tplc="E56285CC" w:tentative="1">
      <w:start w:val="1"/>
      <w:numFmt w:val="bullet"/>
      <w:lvlText w:val="o"/>
      <w:lvlJc w:val="left"/>
      <w:pPr>
        <w:ind w:left="6480" w:hanging="360"/>
      </w:pPr>
      <w:rPr>
        <w:rFonts w:ascii="Courier New" w:hAnsi="Courier New" w:cs="Courier New" w:hint="default"/>
      </w:rPr>
    </w:lvl>
    <w:lvl w:ilvl="8" w:tplc="5AFA8D60" w:tentative="1">
      <w:start w:val="1"/>
      <w:numFmt w:val="bullet"/>
      <w:lvlText w:val=""/>
      <w:lvlJc w:val="left"/>
      <w:pPr>
        <w:ind w:left="7200" w:hanging="360"/>
      </w:pPr>
      <w:rPr>
        <w:rFonts w:ascii="Wingdings" w:hAnsi="Wingdings" w:hint="default"/>
      </w:rPr>
    </w:lvl>
  </w:abstractNum>
  <w:abstractNum w:abstractNumId="30" w15:restartNumberingAfterBreak="0">
    <w:nsid w:val="38B3631D"/>
    <w:multiLevelType w:val="hybridMultilevel"/>
    <w:tmpl w:val="E59071A0"/>
    <w:name w:val="Appendix"/>
    <w:lvl w:ilvl="0" w:tplc="95E60E94">
      <w:start w:val="1"/>
      <w:numFmt w:val="decimal"/>
      <w:pStyle w:val="Appendix"/>
      <w:lvlText w:val="Appendix %1"/>
      <w:lvlJc w:val="left"/>
      <w:pPr>
        <w:tabs>
          <w:tab w:val="num" w:pos="720"/>
        </w:tabs>
        <w:ind w:left="720" w:hanging="720"/>
      </w:pPr>
      <w:rPr>
        <w:rFonts w:ascii="Arial" w:hAnsi="Arial" w:cs="Arial" w:hint="default"/>
        <w:b/>
        <w:sz w:val="24"/>
      </w:rPr>
    </w:lvl>
    <w:lvl w:ilvl="1" w:tplc="92647204" w:tentative="1">
      <w:start w:val="1"/>
      <w:numFmt w:val="lowerLetter"/>
      <w:lvlText w:val="%2."/>
      <w:lvlJc w:val="left"/>
      <w:pPr>
        <w:tabs>
          <w:tab w:val="num" w:pos="1440"/>
        </w:tabs>
        <w:ind w:left="1440" w:hanging="360"/>
      </w:pPr>
    </w:lvl>
    <w:lvl w:ilvl="2" w:tplc="63F2A55C" w:tentative="1">
      <w:start w:val="1"/>
      <w:numFmt w:val="lowerRoman"/>
      <w:lvlText w:val="%3."/>
      <w:lvlJc w:val="right"/>
      <w:pPr>
        <w:tabs>
          <w:tab w:val="num" w:pos="2160"/>
        </w:tabs>
        <w:ind w:left="2160" w:hanging="180"/>
      </w:pPr>
    </w:lvl>
    <w:lvl w:ilvl="3" w:tplc="383A9BB4" w:tentative="1">
      <w:start w:val="1"/>
      <w:numFmt w:val="decimal"/>
      <w:lvlText w:val="%4."/>
      <w:lvlJc w:val="left"/>
      <w:pPr>
        <w:tabs>
          <w:tab w:val="num" w:pos="2880"/>
        </w:tabs>
        <w:ind w:left="2880" w:hanging="360"/>
      </w:pPr>
    </w:lvl>
    <w:lvl w:ilvl="4" w:tplc="BF68A8C8" w:tentative="1">
      <w:start w:val="1"/>
      <w:numFmt w:val="lowerLetter"/>
      <w:lvlText w:val="%5."/>
      <w:lvlJc w:val="left"/>
      <w:pPr>
        <w:tabs>
          <w:tab w:val="num" w:pos="3600"/>
        </w:tabs>
        <w:ind w:left="3600" w:hanging="360"/>
      </w:pPr>
    </w:lvl>
    <w:lvl w:ilvl="5" w:tplc="7616C84A" w:tentative="1">
      <w:start w:val="1"/>
      <w:numFmt w:val="lowerRoman"/>
      <w:lvlText w:val="%6."/>
      <w:lvlJc w:val="right"/>
      <w:pPr>
        <w:tabs>
          <w:tab w:val="num" w:pos="4320"/>
        </w:tabs>
        <w:ind w:left="4320" w:hanging="180"/>
      </w:pPr>
    </w:lvl>
    <w:lvl w:ilvl="6" w:tplc="5C9C670E" w:tentative="1">
      <w:start w:val="1"/>
      <w:numFmt w:val="decimal"/>
      <w:lvlText w:val="%7."/>
      <w:lvlJc w:val="left"/>
      <w:pPr>
        <w:tabs>
          <w:tab w:val="num" w:pos="5040"/>
        </w:tabs>
        <w:ind w:left="5040" w:hanging="360"/>
      </w:pPr>
    </w:lvl>
    <w:lvl w:ilvl="7" w:tplc="E0EE9FB8" w:tentative="1">
      <w:start w:val="1"/>
      <w:numFmt w:val="lowerLetter"/>
      <w:lvlText w:val="%8."/>
      <w:lvlJc w:val="left"/>
      <w:pPr>
        <w:tabs>
          <w:tab w:val="num" w:pos="5760"/>
        </w:tabs>
        <w:ind w:left="5760" w:hanging="360"/>
      </w:pPr>
    </w:lvl>
    <w:lvl w:ilvl="8" w:tplc="C65C2B00" w:tentative="1">
      <w:start w:val="1"/>
      <w:numFmt w:val="lowerRoman"/>
      <w:lvlText w:val="%9."/>
      <w:lvlJc w:val="right"/>
      <w:pPr>
        <w:tabs>
          <w:tab w:val="num" w:pos="6480"/>
        </w:tabs>
        <w:ind w:left="6480" w:hanging="180"/>
      </w:pPr>
    </w:lvl>
  </w:abstractNum>
  <w:abstractNum w:abstractNumId="31" w15:restartNumberingAfterBreak="0">
    <w:nsid w:val="38DA3F0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8FC66A3"/>
    <w:multiLevelType w:val="multilevel"/>
    <w:tmpl w:val="47B2D71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CA95114"/>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12F5E0D"/>
    <w:multiLevelType w:val="hybridMultilevel"/>
    <w:tmpl w:val="DCDC9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2474DF7"/>
    <w:multiLevelType w:val="multilevel"/>
    <w:tmpl w:val="F46C875E"/>
    <w:name w:val="Parties"/>
    <w:lvl w:ilvl="0">
      <w:start w:val="1"/>
      <w:numFmt w:val="decimal"/>
      <w:pStyle w:val="Parties1"/>
      <w:lvlText w:val="(%1)"/>
      <w:lvlJc w:val="left"/>
      <w:pPr>
        <w:tabs>
          <w:tab w:val="num" w:pos="720"/>
        </w:tabs>
        <w:ind w:left="720" w:hanging="720"/>
      </w:pPr>
      <w:rPr>
        <w:rFonts w:ascii="Arial" w:hAnsi="Arial" w:hint="default"/>
        <w:b/>
        <w:i w:val="0"/>
        <w:sz w:val="24"/>
      </w:rPr>
    </w:lvl>
    <w:lvl w:ilvl="1">
      <w:start w:val="1"/>
      <w:numFmt w:val="lowerLetter"/>
      <w:pStyle w:val="Parties2"/>
      <w:lvlText w:val="(%2)"/>
      <w:lvlJc w:val="left"/>
      <w:pPr>
        <w:tabs>
          <w:tab w:val="num" w:pos="1440"/>
        </w:tabs>
        <w:ind w:left="1440" w:hanging="720"/>
      </w:pPr>
      <w:rPr>
        <w:rFonts w:ascii="Arial" w:hAnsi="Arial" w:hint="default"/>
        <w:b w:val="0"/>
        <w:sz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44D67987"/>
    <w:multiLevelType w:val="hybridMultilevel"/>
    <w:tmpl w:val="EBD6FB80"/>
    <w:lvl w:ilvl="0" w:tplc="180AB12A">
      <w:start w:val="1"/>
      <w:numFmt w:val="bullet"/>
      <w:pStyle w:val="subclause1Bullet2"/>
      <w:lvlText w:val=""/>
      <w:lvlJc w:val="left"/>
      <w:pPr>
        <w:ind w:left="1440" w:hanging="360"/>
      </w:pPr>
      <w:rPr>
        <w:rFonts w:ascii="Symbol" w:hAnsi="Symbol" w:hint="default"/>
        <w:color w:val="000000"/>
      </w:rPr>
    </w:lvl>
    <w:lvl w:ilvl="1" w:tplc="38DE17E4" w:tentative="1">
      <w:start w:val="1"/>
      <w:numFmt w:val="bullet"/>
      <w:lvlText w:val="o"/>
      <w:lvlJc w:val="left"/>
      <w:pPr>
        <w:ind w:left="2160" w:hanging="360"/>
      </w:pPr>
      <w:rPr>
        <w:rFonts w:ascii="Courier New" w:hAnsi="Courier New" w:cs="Courier New" w:hint="default"/>
      </w:rPr>
    </w:lvl>
    <w:lvl w:ilvl="2" w:tplc="03EA7F7A" w:tentative="1">
      <w:start w:val="1"/>
      <w:numFmt w:val="bullet"/>
      <w:lvlText w:val=""/>
      <w:lvlJc w:val="left"/>
      <w:pPr>
        <w:ind w:left="2880" w:hanging="360"/>
      </w:pPr>
      <w:rPr>
        <w:rFonts w:ascii="Wingdings" w:hAnsi="Wingdings" w:hint="default"/>
      </w:rPr>
    </w:lvl>
    <w:lvl w:ilvl="3" w:tplc="D48A33F2" w:tentative="1">
      <w:start w:val="1"/>
      <w:numFmt w:val="bullet"/>
      <w:lvlText w:val=""/>
      <w:lvlJc w:val="left"/>
      <w:pPr>
        <w:ind w:left="3600" w:hanging="360"/>
      </w:pPr>
      <w:rPr>
        <w:rFonts w:ascii="Symbol" w:hAnsi="Symbol" w:hint="default"/>
      </w:rPr>
    </w:lvl>
    <w:lvl w:ilvl="4" w:tplc="35BCC47A" w:tentative="1">
      <w:start w:val="1"/>
      <w:numFmt w:val="bullet"/>
      <w:lvlText w:val="o"/>
      <w:lvlJc w:val="left"/>
      <w:pPr>
        <w:ind w:left="4320" w:hanging="360"/>
      </w:pPr>
      <w:rPr>
        <w:rFonts w:ascii="Courier New" w:hAnsi="Courier New" w:cs="Courier New" w:hint="default"/>
      </w:rPr>
    </w:lvl>
    <w:lvl w:ilvl="5" w:tplc="2D58DA90" w:tentative="1">
      <w:start w:val="1"/>
      <w:numFmt w:val="bullet"/>
      <w:lvlText w:val=""/>
      <w:lvlJc w:val="left"/>
      <w:pPr>
        <w:ind w:left="5040" w:hanging="360"/>
      </w:pPr>
      <w:rPr>
        <w:rFonts w:ascii="Wingdings" w:hAnsi="Wingdings" w:hint="default"/>
      </w:rPr>
    </w:lvl>
    <w:lvl w:ilvl="6" w:tplc="7D9A03EA" w:tentative="1">
      <w:start w:val="1"/>
      <w:numFmt w:val="bullet"/>
      <w:lvlText w:val=""/>
      <w:lvlJc w:val="left"/>
      <w:pPr>
        <w:ind w:left="5760" w:hanging="360"/>
      </w:pPr>
      <w:rPr>
        <w:rFonts w:ascii="Symbol" w:hAnsi="Symbol" w:hint="default"/>
      </w:rPr>
    </w:lvl>
    <w:lvl w:ilvl="7" w:tplc="A9B4D85C" w:tentative="1">
      <w:start w:val="1"/>
      <w:numFmt w:val="bullet"/>
      <w:lvlText w:val="o"/>
      <w:lvlJc w:val="left"/>
      <w:pPr>
        <w:ind w:left="6480" w:hanging="360"/>
      </w:pPr>
      <w:rPr>
        <w:rFonts w:ascii="Courier New" w:hAnsi="Courier New" w:cs="Courier New" w:hint="default"/>
      </w:rPr>
    </w:lvl>
    <w:lvl w:ilvl="8" w:tplc="FC446582" w:tentative="1">
      <w:start w:val="1"/>
      <w:numFmt w:val="bullet"/>
      <w:lvlText w:val=""/>
      <w:lvlJc w:val="left"/>
      <w:pPr>
        <w:ind w:left="7200" w:hanging="360"/>
      </w:pPr>
      <w:rPr>
        <w:rFonts w:ascii="Wingdings" w:hAnsi="Wingdings" w:hint="default"/>
      </w:rPr>
    </w:lvl>
  </w:abstractNum>
  <w:abstractNum w:abstractNumId="37" w15:restartNumberingAfterBreak="0">
    <w:nsid w:val="44E96665"/>
    <w:multiLevelType w:val="hybridMultilevel"/>
    <w:tmpl w:val="EF1E142A"/>
    <w:lvl w:ilvl="0" w:tplc="EEC80212">
      <w:start w:val="1"/>
      <w:numFmt w:val="bullet"/>
      <w:pStyle w:val="subclause3Bullet1"/>
      <w:lvlText w:val=""/>
      <w:lvlJc w:val="left"/>
      <w:pPr>
        <w:ind w:left="2988" w:hanging="360"/>
      </w:pPr>
      <w:rPr>
        <w:rFonts w:ascii="Symbol" w:hAnsi="Symbol" w:hint="default"/>
        <w:color w:val="000000"/>
      </w:rPr>
    </w:lvl>
    <w:lvl w:ilvl="1" w:tplc="C16029B0" w:tentative="1">
      <w:start w:val="1"/>
      <w:numFmt w:val="bullet"/>
      <w:lvlText w:val="o"/>
      <w:lvlJc w:val="left"/>
      <w:pPr>
        <w:ind w:left="3708" w:hanging="360"/>
      </w:pPr>
      <w:rPr>
        <w:rFonts w:ascii="Courier New" w:hAnsi="Courier New" w:cs="Courier New" w:hint="default"/>
      </w:rPr>
    </w:lvl>
    <w:lvl w:ilvl="2" w:tplc="C37A9D42" w:tentative="1">
      <w:start w:val="1"/>
      <w:numFmt w:val="bullet"/>
      <w:lvlText w:val=""/>
      <w:lvlJc w:val="left"/>
      <w:pPr>
        <w:ind w:left="4428" w:hanging="360"/>
      </w:pPr>
      <w:rPr>
        <w:rFonts w:ascii="Wingdings" w:hAnsi="Wingdings" w:hint="default"/>
      </w:rPr>
    </w:lvl>
    <w:lvl w:ilvl="3" w:tplc="7E9EE514" w:tentative="1">
      <w:start w:val="1"/>
      <w:numFmt w:val="bullet"/>
      <w:lvlText w:val=""/>
      <w:lvlJc w:val="left"/>
      <w:pPr>
        <w:ind w:left="5148" w:hanging="360"/>
      </w:pPr>
      <w:rPr>
        <w:rFonts w:ascii="Symbol" w:hAnsi="Symbol" w:hint="default"/>
      </w:rPr>
    </w:lvl>
    <w:lvl w:ilvl="4" w:tplc="BF62C8D2" w:tentative="1">
      <w:start w:val="1"/>
      <w:numFmt w:val="bullet"/>
      <w:lvlText w:val="o"/>
      <w:lvlJc w:val="left"/>
      <w:pPr>
        <w:ind w:left="5868" w:hanging="360"/>
      </w:pPr>
      <w:rPr>
        <w:rFonts w:ascii="Courier New" w:hAnsi="Courier New" w:cs="Courier New" w:hint="default"/>
      </w:rPr>
    </w:lvl>
    <w:lvl w:ilvl="5" w:tplc="98CC74F4" w:tentative="1">
      <w:start w:val="1"/>
      <w:numFmt w:val="bullet"/>
      <w:lvlText w:val=""/>
      <w:lvlJc w:val="left"/>
      <w:pPr>
        <w:ind w:left="6588" w:hanging="360"/>
      </w:pPr>
      <w:rPr>
        <w:rFonts w:ascii="Wingdings" w:hAnsi="Wingdings" w:hint="default"/>
      </w:rPr>
    </w:lvl>
    <w:lvl w:ilvl="6" w:tplc="1CB829EC" w:tentative="1">
      <w:start w:val="1"/>
      <w:numFmt w:val="bullet"/>
      <w:lvlText w:val=""/>
      <w:lvlJc w:val="left"/>
      <w:pPr>
        <w:ind w:left="7308" w:hanging="360"/>
      </w:pPr>
      <w:rPr>
        <w:rFonts w:ascii="Symbol" w:hAnsi="Symbol" w:hint="default"/>
      </w:rPr>
    </w:lvl>
    <w:lvl w:ilvl="7" w:tplc="A72CCD2E" w:tentative="1">
      <w:start w:val="1"/>
      <w:numFmt w:val="bullet"/>
      <w:lvlText w:val="o"/>
      <w:lvlJc w:val="left"/>
      <w:pPr>
        <w:ind w:left="8028" w:hanging="360"/>
      </w:pPr>
      <w:rPr>
        <w:rFonts w:ascii="Courier New" w:hAnsi="Courier New" w:cs="Courier New" w:hint="default"/>
      </w:rPr>
    </w:lvl>
    <w:lvl w:ilvl="8" w:tplc="DE0E6E54" w:tentative="1">
      <w:start w:val="1"/>
      <w:numFmt w:val="bullet"/>
      <w:lvlText w:val=""/>
      <w:lvlJc w:val="left"/>
      <w:pPr>
        <w:ind w:left="8748" w:hanging="360"/>
      </w:pPr>
      <w:rPr>
        <w:rFonts w:ascii="Wingdings" w:hAnsi="Wingdings" w:hint="default"/>
      </w:rPr>
    </w:lvl>
  </w:abstractNum>
  <w:abstractNum w:abstractNumId="38" w15:restartNumberingAfterBreak="0">
    <w:nsid w:val="45DC412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6AC04C6"/>
    <w:multiLevelType w:val="hybridMultilevel"/>
    <w:tmpl w:val="E6C47700"/>
    <w:lvl w:ilvl="0" w:tplc="9C669A50">
      <w:start w:val="1"/>
      <w:numFmt w:val="bullet"/>
      <w:pStyle w:val="subclause2Bullet1"/>
      <w:lvlText w:val=""/>
      <w:lvlJc w:val="left"/>
      <w:pPr>
        <w:ind w:left="2279" w:hanging="360"/>
      </w:pPr>
      <w:rPr>
        <w:rFonts w:ascii="Symbol" w:hAnsi="Symbol" w:hint="default"/>
        <w:color w:val="000000"/>
      </w:rPr>
    </w:lvl>
    <w:lvl w:ilvl="1" w:tplc="9B3CC5AA" w:tentative="1">
      <w:start w:val="1"/>
      <w:numFmt w:val="bullet"/>
      <w:lvlText w:val="o"/>
      <w:lvlJc w:val="left"/>
      <w:pPr>
        <w:ind w:left="2999" w:hanging="360"/>
      </w:pPr>
      <w:rPr>
        <w:rFonts w:ascii="Courier New" w:hAnsi="Courier New" w:cs="Courier New" w:hint="default"/>
      </w:rPr>
    </w:lvl>
    <w:lvl w:ilvl="2" w:tplc="BEF2F692" w:tentative="1">
      <w:start w:val="1"/>
      <w:numFmt w:val="bullet"/>
      <w:lvlText w:val=""/>
      <w:lvlJc w:val="left"/>
      <w:pPr>
        <w:ind w:left="3719" w:hanging="360"/>
      </w:pPr>
      <w:rPr>
        <w:rFonts w:ascii="Wingdings" w:hAnsi="Wingdings" w:hint="default"/>
      </w:rPr>
    </w:lvl>
    <w:lvl w:ilvl="3" w:tplc="DD465602" w:tentative="1">
      <w:start w:val="1"/>
      <w:numFmt w:val="bullet"/>
      <w:lvlText w:val=""/>
      <w:lvlJc w:val="left"/>
      <w:pPr>
        <w:ind w:left="4439" w:hanging="360"/>
      </w:pPr>
      <w:rPr>
        <w:rFonts w:ascii="Symbol" w:hAnsi="Symbol" w:hint="default"/>
      </w:rPr>
    </w:lvl>
    <w:lvl w:ilvl="4" w:tplc="FEDC0544" w:tentative="1">
      <w:start w:val="1"/>
      <w:numFmt w:val="bullet"/>
      <w:lvlText w:val="o"/>
      <w:lvlJc w:val="left"/>
      <w:pPr>
        <w:ind w:left="5159" w:hanging="360"/>
      </w:pPr>
      <w:rPr>
        <w:rFonts w:ascii="Courier New" w:hAnsi="Courier New" w:cs="Courier New" w:hint="default"/>
      </w:rPr>
    </w:lvl>
    <w:lvl w:ilvl="5" w:tplc="8020B240" w:tentative="1">
      <w:start w:val="1"/>
      <w:numFmt w:val="bullet"/>
      <w:lvlText w:val=""/>
      <w:lvlJc w:val="left"/>
      <w:pPr>
        <w:ind w:left="5879" w:hanging="360"/>
      </w:pPr>
      <w:rPr>
        <w:rFonts w:ascii="Wingdings" w:hAnsi="Wingdings" w:hint="default"/>
      </w:rPr>
    </w:lvl>
    <w:lvl w:ilvl="6" w:tplc="E9167C6C" w:tentative="1">
      <w:start w:val="1"/>
      <w:numFmt w:val="bullet"/>
      <w:lvlText w:val=""/>
      <w:lvlJc w:val="left"/>
      <w:pPr>
        <w:ind w:left="6599" w:hanging="360"/>
      </w:pPr>
      <w:rPr>
        <w:rFonts w:ascii="Symbol" w:hAnsi="Symbol" w:hint="default"/>
      </w:rPr>
    </w:lvl>
    <w:lvl w:ilvl="7" w:tplc="99E0C65C" w:tentative="1">
      <w:start w:val="1"/>
      <w:numFmt w:val="bullet"/>
      <w:lvlText w:val="o"/>
      <w:lvlJc w:val="left"/>
      <w:pPr>
        <w:ind w:left="7319" w:hanging="360"/>
      </w:pPr>
      <w:rPr>
        <w:rFonts w:ascii="Courier New" w:hAnsi="Courier New" w:cs="Courier New" w:hint="default"/>
      </w:rPr>
    </w:lvl>
    <w:lvl w:ilvl="8" w:tplc="63C2727C" w:tentative="1">
      <w:start w:val="1"/>
      <w:numFmt w:val="bullet"/>
      <w:lvlText w:val=""/>
      <w:lvlJc w:val="left"/>
      <w:pPr>
        <w:ind w:left="8039" w:hanging="360"/>
      </w:pPr>
      <w:rPr>
        <w:rFonts w:ascii="Wingdings" w:hAnsi="Wingdings" w:hint="default"/>
      </w:rPr>
    </w:lvl>
  </w:abstractNum>
  <w:abstractNum w:abstractNumId="40" w15:restartNumberingAfterBreak="0">
    <w:nsid w:val="47F42723"/>
    <w:multiLevelType w:val="hybridMultilevel"/>
    <w:tmpl w:val="C5A02EE6"/>
    <w:lvl w:ilvl="0" w:tplc="38BE2462">
      <w:start w:val="1"/>
      <w:numFmt w:val="bullet"/>
      <w:pStyle w:val="subclause1Bullet1"/>
      <w:lvlText w:val=""/>
      <w:lvlJc w:val="left"/>
      <w:pPr>
        <w:ind w:left="1440" w:hanging="360"/>
      </w:pPr>
      <w:rPr>
        <w:rFonts w:ascii="Symbol" w:hAnsi="Symbol" w:hint="default"/>
        <w:color w:val="000000"/>
      </w:rPr>
    </w:lvl>
    <w:lvl w:ilvl="1" w:tplc="067C2702" w:tentative="1">
      <w:start w:val="1"/>
      <w:numFmt w:val="bullet"/>
      <w:lvlText w:val="o"/>
      <w:lvlJc w:val="left"/>
      <w:pPr>
        <w:ind w:left="2160" w:hanging="360"/>
      </w:pPr>
      <w:rPr>
        <w:rFonts w:ascii="Courier New" w:hAnsi="Courier New" w:cs="Courier New" w:hint="default"/>
      </w:rPr>
    </w:lvl>
    <w:lvl w:ilvl="2" w:tplc="026EB82C" w:tentative="1">
      <w:start w:val="1"/>
      <w:numFmt w:val="bullet"/>
      <w:lvlText w:val=""/>
      <w:lvlJc w:val="left"/>
      <w:pPr>
        <w:ind w:left="2880" w:hanging="360"/>
      </w:pPr>
      <w:rPr>
        <w:rFonts w:ascii="Wingdings" w:hAnsi="Wingdings" w:hint="default"/>
      </w:rPr>
    </w:lvl>
    <w:lvl w:ilvl="3" w:tplc="012C37EE" w:tentative="1">
      <w:start w:val="1"/>
      <w:numFmt w:val="bullet"/>
      <w:lvlText w:val=""/>
      <w:lvlJc w:val="left"/>
      <w:pPr>
        <w:ind w:left="3600" w:hanging="360"/>
      </w:pPr>
      <w:rPr>
        <w:rFonts w:ascii="Symbol" w:hAnsi="Symbol" w:hint="default"/>
      </w:rPr>
    </w:lvl>
    <w:lvl w:ilvl="4" w:tplc="1DDE270A" w:tentative="1">
      <w:start w:val="1"/>
      <w:numFmt w:val="bullet"/>
      <w:lvlText w:val="o"/>
      <w:lvlJc w:val="left"/>
      <w:pPr>
        <w:ind w:left="4320" w:hanging="360"/>
      </w:pPr>
      <w:rPr>
        <w:rFonts w:ascii="Courier New" w:hAnsi="Courier New" w:cs="Courier New" w:hint="default"/>
      </w:rPr>
    </w:lvl>
    <w:lvl w:ilvl="5" w:tplc="FAF07D1A" w:tentative="1">
      <w:start w:val="1"/>
      <w:numFmt w:val="bullet"/>
      <w:lvlText w:val=""/>
      <w:lvlJc w:val="left"/>
      <w:pPr>
        <w:ind w:left="5040" w:hanging="360"/>
      </w:pPr>
      <w:rPr>
        <w:rFonts w:ascii="Wingdings" w:hAnsi="Wingdings" w:hint="default"/>
      </w:rPr>
    </w:lvl>
    <w:lvl w:ilvl="6" w:tplc="B3183B74" w:tentative="1">
      <w:start w:val="1"/>
      <w:numFmt w:val="bullet"/>
      <w:lvlText w:val=""/>
      <w:lvlJc w:val="left"/>
      <w:pPr>
        <w:ind w:left="5760" w:hanging="360"/>
      </w:pPr>
      <w:rPr>
        <w:rFonts w:ascii="Symbol" w:hAnsi="Symbol" w:hint="default"/>
      </w:rPr>
    </w:lvl>
    <w:lvl w:ilvl="7" w:tplc="21D2DE8C" w:tentative="1">
      <w:start w:val="1"/>
      <w:numFmt w:val="bullet"/>
      <w:lvlText w:val="o"/>
      <w:lvlJc w:val="left"/>
      <w:pPr>
        <w:ind w:left="6480" w:hanging="360"/>
      </w:pPr>
      <w:rPr>
        <w:rFonts w:ascii="Courier New" w:hAnsi="Courier New" w:cs="Courier New" w:hint="default"/>
      </w:rPr>
    </w:lvl>
    <w:lvl w:ilvl="8" w:tplc="1A2AFF88" w:tentative="1">
      <w:start w:val="1"/>
      <w:numFmt w:val="bullet"/>
      <w:lvlText w:val=""/>
      <w:lvlJc w:val="left"/>
      <w:pPr>
        <w:ind w:left="7200" w:hanging="360"/>
      </w:pPr>
      <w:rPr>
        <w:rFonts w:ascii="Wingdings" w:hAnsi="Wingdings" w:hint="default"/>
      </w:rPr>
    </w:lvl>
  </w:abstractNum>
  <w:abstractNum w:abstractNumId="41" w15:restartNumberingAfterBreak="0">
    <w:nsid w:val="4F6C206E"/>
    <w:multiLevelType w:val="hybridMultilevel"/>
    <w:tmpl w:val="9C7A6026"/>
    <w:lvl w:ilvl="0" w:tplc="08090001">
      <w:start w:val="1"/>
      <w:numFmt w:val="bullet"/>
      <w:lvlText w:val=""/>
      <w:lvlJc w:val="left"/>
      <w:pPr>
        <w:ind w:left="3240" w:hanging="360"/>
      </w:pPr>
      <w:rPr>
        <w:rFonts w:ascii="Symbol" w:hAnsi="Symbol"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42" w15:restartNumberingAfterBreak="0">
    <w:nsid w:val="4FB644B4"/>
    <w:multiLevelType w:val="multilevel"/>
    <w:tmpl w:val="ECEA8670"/>
    <w:name w:val="Bullet"/>
    <w:lvl w:ilvl="0">
      <w:start w:val="1"/>
      <w:numFmt w:val="bullet"/>
      <w:pStyle w:val="Bullet"/>
      <w:lvlText w:val="•"/>
      <w:lvlJc w:val="left"/>
      <w:pPr>
        <w:tabs>
          <w:tab w:val="num" w:pos="720"/>
        </w:tabs>
        <w:ind w:left="720" w:hanging="720"/>
      </w:pPr>
      <w:rPr>
        <w:rFonts w:ascii="Calibri" w:hAnsi="Calibri" w:hint="default"/>
        <w:b w:val="0"/>
        <w:i w:val="0"/>
        <w:caps/>
        <w:sz w:val="22"/>
      </w:rPr>
    </w:lvl>
    <w:lvl w:ilvl="1">
      <w:start w:val="1"/>
      <w:numFmt w:val="bullet"/>
      <w:pStyle w:val="BulletList2"/>
      <w:lvlText w:val="-"/>
      <w:lvlJc w:val="left"/>
      <w:pPr>
        <w:tabs>
          <w:tab w:val="num" w:pos="1440"/>
        </w:tabs>
        <w:ind w:left="1440" w:hanging="720"/>
      </w:pPr>
      <w:rPr>
        <w:rFonts w:ascii="Calibri" w:hAnsi="Calibri"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43" w15:restartNumberingAfterBreak="0">
    <w:nsid w:val="511B4B18"/>
    <w:multiLevelType w:val="hybridMultilevel"/>
    <w:tmpl w:val="1604E6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5CB0AF0"/>
    <w:multiLevelType w:val="hybridMultilevel"/>
    <w:tmpl w:val="EB98B43A"/>
    <w:lvl w:ilvl="0" w:tplc="452292DE">
      <w:start w:val="1"/>
      <w:numFmt w:val="decimal"/>
      <w:pStyle w:val="LongQuestionPara"/>
      <w:lvlText w:val="%1."/>
      <w:lvlJc w:val="left"/>
      <w:pPr>
        <w:ind w:left="360" w:hanging="360"/>
      </w:pPr>
      <w:rPr>
        <w:rFonts w:hint="default"/>
        <w:b/>
        <w:i w:val="0"/>
        <w:color w:val="000000"/>
        <w:sz w:val="24"/>
      </w:rPr>
    </w:lvl>
    <w:lvl w:ilvl="1" w:tplc="EE8E3D24" w:tentative="1">
      <w:start w:val="1"/>
      <w:numFmt w:val="lowerLetter"/>
      <w:lvlText w:val="%2."/>
      <w:lvlJc w:val="left"/>
      <w:pPr>
        <w:ind w:left="1440" w:hanging="360"/>
      </w:pPr>
    </w:lvl>
    <w:lvl w:ilvl="2" w:tplc="0B981EBE" w:tentative="1">
      <w:start w:val="1"/>
      <w:numFmt w:val="lowerRoman"/>
      <w:lvlText w:val="%3."/>
      <w:lvlJc w:val="right"/>
      <w:pPr>
        <w:ind w:left="2160" w:hanging="180"/>
      </w:pPr>
    </w:lvl>
    <w:lvl w:ilvl="3" w:tplc="A97A2062" w:tentative="1">
      <w:start w:val="1"/>
      <w:numFmt w:val="decimal"/>
      <w:lvlText w:val="%4."/>
      <w:lvlJc w:val="left"/>
      <w:pPr>
        <w:ind w:left="2880" w:hanging="360"/>
      </w:pPr>
    </w:lvl>
    <w:lvl w:ilvl="4" w:tplc="ADE0E4F4" w:tentative="1">
      <w:start w:val="1"/>
      <w:numFmt w:val="lowerLetter"/>
      <w:lvlText w:val="%5."/>
      <w:lvlJc w:val="left"/>
      <w:pPr>
        <w:ind w:left="3600" w:hanging="360"/>
      </w:pPr>
    </w:lvl>
    <w:lvl w:ilvl="5" w:tplc="FAF8C9A4" w:tentative="1">
      <w:start w:val="1"/>
      <w:numFmt w:val="lowerRoman"/>
      <w:lvlText w:val="%6."/>
      <w:lvlJc w:val="right"/>
      <w:pPr>
        <w:ind w:left="4320" w:hanging="180"/>
      </w:pPr>
    </w:lvl>
    <w:lvl w:ilvl="6" w:tplc="24C049FA" w:tentative="1">
      <w:start w:val="1"/>
      <w:numFmt w:val="decimal"/>
      <w:lvlText w:val="%7."/>
      <w:lvlJc w:val="left"/>
      <w:pPr>
        <w:ind w:left="5040" w:hanging="360"/>
      </w:pPr>
    </w:lvl>
    <w:lvl w:ilvl="7" w:tplc="7FC657FC" w:tentative="1">
      <w:start w:val="1"/>
      <w:numFmt w:val="lowerLetter"/>
      <w:lvlText w:val="%8."/>
      <w:lvlJc w:val="left"/>
      <w:pPr>
        <w:ind w:left="5760" w:hanging="360"/>
      </w:pPr>
    </w:lvl>
    <w:lvl w:ilvl="8" w:tplc="DDC8FC0A" w:tentative="1">
      <w:start w:val="1"/>
      <w:numFmt w:val="lowerRoman"/>
      <w:lvlText w:val="%9."/>
      <w:lvlJc w:val="right"/>
      <w:pPr>
        <w:ind w:left="6480" w:hanging="180"/>
      </w:pPr>
    </w:lvl>
  </w:abstractNum>
  <w:abstractNum w:abstractNumId="45" w15:restartNumberingAfterBreak="0">
    <w:nsid w:val="598E5750"/>
    <w:multiLevelType w:val="multilevel"/>
    <w:tmpl w:val="52026D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CCE1A21"/>
    <w:multiLevelType w:val="hybridMultilevel"/>
    <w:tmpl w:val="40C8B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E047A24"/>
    <w:multiLevelType w:val="multilevel"/>
    <w:tmpl w:val="A3A2166C"/>
    <w:name w:val="Level 1 number"/>
    <w:lvl w:ilvl="0">
      <w:start w:val="1"/>
      <w:numFmt w:val="decimal"/>
      <w:pStyle w:val="Level1Heading"/>
      <w:lvlText w:val="%1"/>
      <w:lvlJc w:val="left"/>
      <w:pPr>
        <w:tabs>
          <w:tab w:val="num" w:pos="720"/>
        </w:tabs>
        <w:ind w:left="720" w:hanging="720"/>
      </w:pPr>
      <w:rPr>
        <w:rFonts w:hint="default"/>
        <w:b/>
        <w:i w:val="0"/>
        <w:caps w:val="0"/>
        <w:sz w:val="24"/>
        <w:szCs w:val="24"/>
      </w:rPr>
    </w:lvl>
    <w:lvl w:ilvl="1">
      <w:start w:val="1"/>
      <w:numFmt w:val="decimal"/>
      <w:pStyle w:val="Level2Number"/>
      <w:lvlText w:val="%1.%2"/>
      <w:lvlJc w:val="left"/>
      <w:pPr>
        <w:tabs>
          <w:tab w:val="num" w:pos="720"/>
        </w:tabs>
        <w:ind w:left="720" w:hanging="720"/>
      </w:pPr>
      <w:rPr>
        <w:rFonts w:ascii="Arial" w:hAnsi="Arial" w:cs="Arial" w:hint="default"/>
        <w:b w:val="0"/>
        <w:i w:val="0"/>
        <w:caps w:val="0"/>
        <w:sz w:val="20"/>
        <w:szCs w:val="22"/>
      </w:rPr>
    </w:lvl>
    <w:lvl w:ilvl="2">
      <w:start w:val="1"/>
      <w:numFmt w:val="decimal"/>
      <w:pStyle w:val="Level3Number"/>
      <w:lvlText w:val="%1.%2.%3"/>
      <w:lvlJc w:val="left"/>
      <w:pPr>
        <w:tabs>
          <w:tab w:val="num" w:pos="1440"/>
        </w:tabs>
        <w:ind w:left="1440" w:hanging="720"/>
      </w:pPr>
      <w:rPr>
        <w:rFonts w:ascii="Arial" w:hAnsi="Arial" w:cs="Arial" w:hint="default"/>
        <w:b w:val="0"/>
        <w:i w:val="0"/>
        <w:sz w:val="20"/>
        <w:szCs w:val="22"/>
      </w:rPr>
    </w:lvl>
    <w:lvl w:ilvl="3">
      <w:start w:val="1"/>
      <w:numFmt w:val="lowerLetter"/>
      <w:pStyle w:val="Level4Number"/>
      <w:lvlText w:val="(%4)"/>
      <w:lvlJc w:val="left"/>
      <w:pPr>
        <w:tabs>
          <w:tab w:val="num" w:pos="2160"/>
        </w:tabs>
        <w:ind w:left="2160" w:hanging="720"/>
      </w:pPr>
      <w:rPr>
        <w:rFonts w:ascii="Arial" w:hAnsi="Arial" w:cs="Arial" w:hint="default"/>
        <w:b w:val="0"/>
        <w:i w:val="0"/>
        <w:sz w:val="20"/>
        <w:szCs w:val="22"/>
      </w:rPr>
    </w:lvl>
    <w:lvl w:ilvl="4">
      <w:start w:val="1"/>
      <w:numFmt w:val="lowerRoman"/>
      <w:pStyle w:val="Level5Number"/>
      <w:lvlText w:val="(%5)"/>
      <w:lvlJc w:val="left"/>
      <w:pPr>
        <w:tabs>
          <w:tab w:val="num" w:pos="2880"/>
        </w:tabs>
        <w:ind w:left="2880" w:hanging="720"/>
      </w:pPr>
      <w:rPr>
        <w:rFonts w:ascii="Arial" w:hAnsi="Arial" w:cs="Arial" w:hint="default"/>
        <w:b w:val="0"/>
        <w:i w:val="0"/>
        <w:sz w:val="20"/>
        <w:szCs w:val="22"/>
      </w:rPr>
    </w:lvl>
    <w:lvl w:ilvl="5">
      <w:start w:val="1"/>
      <w:numFmt w:val="upperLetter"/>
      <w:pStyle w:val="Level6Number"/>
      <w:lvlText w:val="(%6)"/>
      <w:lvlJc w:val="left"/>
      <w:pPr>
        <w:tabs>
          <w:tab w:val="num" w:pos="3600"/>
        </w:tabs>
        <w:ind w:left="3600" w:hanging="720"/>
      </w:pPr>
      <w:rPr>
        <w:rFonts w:ascii="Arial" w:hAnsi="Arial" w:cs="Arial" w:hint="default"/>
        <w:b w:val="0"/>
        <w:i w:val="0"/>
        <w:sz w:val="20"/>
      </w:rPr>
    </w:lvl>
    <w:lvl w:ilvl="6">
      <w:start w:val="1"/>
      <w:numFmt w:val="decimal"/>
      <w:pStyle w:val="Level7Number"/>
      <w:lvlText w:val="(%7)"/>
      <w:lvlJc w:val="left"/>
      <w:pPr>
        <w:tabs>
          <w:tab w:val="num" w:pos="4320"/>
        </w:tabs>
        <w:ind w:left="4320" w:hanging="720"/>
      </w:pPr>
      <w:rPr>
        <w:rFonts w:ascii="Arial" w:hAnsi="Arial" w:cs="Arial" w:hint="default"/>
        <w:b w:val="0"/>
        <w:sz w:val="20"/>
      </w:rPr>
    </w:lvl>
    <w:lvl w:ilvl="7">
      <w:start w:val="1"/>
      <w:numFmt w:val="lowerLetter"/>
      <w:lvlText w:val="%8)"/>
      <w:lvlJc w:val="left"/>
      <w:pPr>
        <w:tabs>
          <w:tab w:val="num" w:pos="5040"/>
        </w:tabs>
        <w:ind w:left="5040" w:hanging="720"/>
      </w:pPr>
      <w:rPr>
        <w:rFonts w:ascii="Arial" w:hAnsi="Arial" w:cs="Arial" w:hint="default"/>
        <w:b w:val="0"/>
        <w:i w:val="0"/>
        <w:sz w:val="20"/>
      </w:rPr>
    </w:lvl>
    <w:lvl w:ilvl="8">
      <w:start w:val="1"/>
      <w:numFmt w:val="lowerRoman"/>
      <w:lvlText w:val="%9)"/>
      <w:lvlJc w:val="left"/>
      <w:pPr>
        <w:tabs>
          <w:tab w:val="num" w:pos="5760"/>
        </w:tabs>
        <w:ind w:left="5760" w:hanging="720"/>
      </w:pPr>
      <w:rPr>
        <w:rFonts w:ascii="Arial" w:hAnsi="Arial" w:cs="Arial" w:hint="default"/>
        <w:b w:val="0"/>
        <w:i w:val="0"/>
        <w:sz w:val="20"/>
      </w:rPr>
    </w:lvl>
  </w:abstractNum>
  <w:abstractNum w:abstractNumId="48" w15:restartNumberingAfterBreak="0">
    <w:nsid w:val="5EF5161A"/>
    <w:multiLevelType w:val="hybridMultilevel"/>
    <w:tmpl w:val="0E5AEA7E"/>
    <w:name w:val="Tender biog bullet"/>
    <w:lvl w:ilvl="0" w:tplc="A950EA2A">
      <w:start w:val="1"/>
      <w:numFmt w:val="bullet"/>
      <w:pStyle w:val="Tenderbiogbullet"/>
      <w:lvlText w:val="·"/>
      <w:lvlJc w:val="left"/>
      <w:pPr>
        <w:tabs>
          <w:tab w:val="num" w:pos="288"/>
        </w:tabs>
        <w:ind w:left="288" w:hanging="288"/>
      </w:pPr>
      <w:rPr>
        <w:rFonts w:ascii="Symbol" w:hAnsi="Symbol" w:hint="default"/>
        <w:b w:val="0"/>
        <w:color w:val="auto"/>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0C40433"/>
    <w:multiLevelType w:val="hybridMultilevel"/>
    <w:tmpl w:val="A8F8D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1071422"/>
    <w:multiLevelType w:val="hybridMultilevel"/>
    <w:tmpl w:val="59B858D8"/>
    <w:lvl w:ilvl="0" w:tplc="5DF4E6A8">
      <w:start w:val="1"/>
      <w:numFmt w:val="bullet"/>
      <w:pStyle w:val="ClauseBullet1"/>
      <w:lvlText w:val=""/>
      <w:lvlJc w:val="left"/>
      <w:pPr>
        <w:ind w:left="1080" w:hanging="360"/>
      </w:pPr>
      <w:rPr>
        <w:rFonts w:ascii="Symbol" w:hAnsi="Symbol" w:hint="default"/>
        <w:color w:val="000000"/>
      </w:rPr>
    </w:lvl>
    <w:lvl w:ilvl="1" w:tplc="6A4C76F2" w:tentative="1">
      <w:start w:val="1"/>
      <w:numFmt w:val="bullet"/>
      <w:lvlText w:val="o"/>
      <w:lvlJc w:val="left"/>
      <w:pPr>
        <w:ind w:left="1800" w:hanging="360"/>
      </w:pPr>
      <w:rPr>
        <w:rFonts w:ascii="Courier New" w:hAnsi="Courier New" w:cs="Courier New" w:hint="default"/>
      </w:rPr>
    </w:lvl>
    <w:lvl w:ilvl="2" w:tplc="8F9CBE9E" w:tentative="1">
      <w:start w:val="1"/>
      <w:numFmt w:val="bullet"/>
      <w:lvlText w:val=""/>
      <w:lvlJc w:val="left"/>
      <w:pPr>
        <w:ind w:left="2520" w:hanging="360"/>
      </w:pPr>
      <w:rPr>
        <w:rFonts w:ascii="Wingdings" w:hAnsi="Wingdings" w:hint="default"/>
      </w:rPr>
    </w:lvl>
    <w:lvl w:ilvl="3" w:tplc="52528CD2" w:tentative="1">
      <w:start w:val="1"/>
      <w:numFmt w:val="bullet"/>
      <w:lvlText w:val=""/>
      <w:lvlJc w:val="left"/>
      <w:pPr>
        <w:ind w:left="3240" w:hanging="360"/>
      </w:pPr>
      <w:rPr>
        <w:rFonts w:ascii="Symbol" w:hAnsi="Symbol" w:hint="default"/>
      </w:rPr>
    </w:lvl>
    <w:lvl w:ilvl="4" w:tplc="EE586346" w:tentative="1">
      <w:start w:val="1"/>
      <w:numFmt w:val="bullet"/>
      <w:lvlText w:val="o"/>
      <w:lvlJc w:val="left"/>
      <w:pPr>
        <w:ind w:left="3960" w:hanging="360"/>
      </w:pPr>
      <w:rPr>
        <w:rFonts w:ascii="Courier New" w:hAnsi="Courier New" w:cs="Courier New" w:hint="default"/>
      </w:rPr>
    </w:lvl>
    <w:lvl w:ilvl="5" w:tplc="E8D62092" w:tentative="1">
      <w:start w:val="1"/>
      <w:numFmt w:val="bullet"/>
      <w:lvlText w:val=""/>
      <w:lvlJc w:val="left"/>
      <w:pPr>
        <w:ind w:left="4680" w:hanging="360"/>
      </w:pPr>
      <w:rPr>
        <w:rFonts w:ascii="Wingdings" w:hAnsi="Wingdings" w:hint="default"/>
      </w:rPr>
    </w:lvl>
    <w:lvl w:ilvl="6" w:tplc="F41676EA" w:tentative="1">
      <w:start w:val="1"/>
      <w:numFmt w:val="bullet"/>
      <w:lvlText w:val=""/>
      <w:lvlJc w:val="left"/>
      <w:pPr>
        <w:ind w:left="5400" w:hanging="360"/>
      </w:pPr>
      <w:rPr>
        <w:rFonts w:ascii="Symbol" w:hAnsi="Symbol" w:hint="default"/>
      </w:rPr>
    </w:lvl>
    <w:lvl w:ilvl="7" w:tplc="893E70EA" w:tentative="1">
      <w:start w:val="1"/>
      <w:numFmt w:val="bullet"/>
      <w:lvlText w:val="o"/>
      <w:lvlJc w:val="left"/>
      <w:pPr>
        <w:ind w:left="6120" w:hanging="360"/>
      </w:pPr>
      <w:rPr>
        <w:rFonts w:ascii="Courier New" w:hAnsi="Courier New" w:cs="Courier New" w:hint="default"/>
      </w:rPr>
    </w:lvl>
    <w:lvl w:ilvl="8" w:tplc="4832364E" w:tentative="1">
      <w:start w:val="1"/>
      <w:numFmt w:val="bullet"/>
      <w:lvlText w:val=""/>
      <w:lvlJc w:val="left"/>
      <w:pPr>
        <w:ind w:left="6840" w:hanging="360"/>
      </w:pPr>
      <w:rPr>
        <w:rFonts w:ascii="Wingdings" w:hAnsi="Wingdings" w:hint="default"/>
      </w:rPr>
    </w:lvl>
  </w:abstractNum>
  <w:abstractNum w:abstractNumId="51" w15:restartNumberingAfterBreak="0">
    <w:nsid w:val="62BC03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42371CD"/>
    <w:multiLevelType w:val="hybridMultilevel"/>
    <w:tmpl w:val="3B76A654"/>
    <w:lvl w:ilvl="0" w:tplc="04021BAE">
      <w:start w:val="1"/>
      <w:numFmt w:val="bullet"/>
      <w:pStyle w:val="subclause3Bullet2"/>
      <w:lvlText w:val=""/>
      <w:lvlJc w:val="left"/>
      <w:pPr>
        <w:ind w:left="3748" w:hanging="360"/>
      </w:pPr>
      <w:rPr>
        <w:rFonts w:ascii="Symbol" w:hAnsi="Symbol" w:hint="default"/>
        <w:color w:val="000000"/>
      </w:rPr>
    </w:lvl>
    <w:lvl w:ilvl="1" w:tplc="2662EF42" w:tentative="1">
      <w:start w:val="1"/>
      <w:numFmt w:val="bullet"/>
      <w:lvlText w:val="o"/>
      <w:lvlJc w:val="left"/>
      <w:pPr>
        <w:ind w:left="4468" w:hanging="360"/>
      </w:pPr>
      <w:rPr>
        <w:rFonts w:ascii="Courier New" w:hAnsi="Courier New" w:cs="Courier New" w:hint="default"/>
      </w:rPr>
    </w:lvl>
    <w:lvl w:ilvl="2" w:tplc="5DE0EB9E" w:tentative="1">
      <w:start w:val="1"/>
      <w:numFmt w:val="bullet"/>
      <w:lvlText w:val=""/>
      <w:lvlJc w:val="left"/>
      <w:pPr>
        <w:ind w:left="5188" w:hanging="360"/>
      </w:pPr>
      <w:rPr>
        <w:rFonts w:ascii="Wingdings" w:hAnsi="Wingdings" w:hint="default"/>
      </w:rPr>
    </w:lvl>
    <w:lvl w:ilvl="3" w:tplc="9A24E7B2" w:tentative="1">
      <w:start w:val="1"/>
      <w:numFmt w:val="bullet"/>
      <w:lvlText w:val=""/>
      <w:lvlJc w:val="left"/>
      <w:pPr>
        <w:ind w:left="5908" w:hanging="360"/>
      </w:pPr>
      <w:rPr>
        <w:rFonts w:ascii="Symbol" w:hAnsi="Symbol" w:hint="default"/>
      </w:rPr>
    </w:lvl>
    <w:lvl w:ilvl="4" w:tplc="197648DA" w:tentative="1">
      <w:start w:val="1"/>
      <w:numFmt w:val="bullet"/>
      <w:lvlText w:val="o"/>
      <w:lvlJc w:val="left"/>
      <w:pPr>
        <w:ind w:left="6628" w:hanging="360"/>
      </w:pPr>
      <w:rPr>
        <w:rFonts w:ascii="Courier New" w:hAnsi="Courier New" w:cs="Courier New" w:hint="default"/>
      </w:rPr>
    </w:lvl>
    <w:lvl w:ilvl="5" w:tplc="464E96D8" w:tentative="1">
      <w:start w:val="1"/>
      <w:numFmt w:val="bullet"/>
      <w:lvlText w:val=""/>
      <w:lvlJc w:val="left"/>
      <w:pPr>
        <w:ind w:left="7348" w:hanging="360"/>
      </w:pPr>
      <w:rPr>
        <w:rFonts w:ascii="Wingdings" w:hAnsi="Wingdings" w:hint="default"/>
      </w:rPr>
    </w:lvl>
    <w:lvl w:ilvl="6" w:tplc="818A06C4" w:tentative="1">
      <w:start w:val="1"/>
      <w:numFmt w:val="bullet"/>
      <w:lvlText w:val=""/>
      <w:lvlJc w:val="left"/>
      <w:pPr>
        <w:ind w:left="8068" w:hanging="360"/>
      </w:pPr>
      <w:rPr>
        <w:rFonts w:ascii="Symbol" w:hAnsi="Symbol" w:hint="default"/>
      </w:rPr>
    </w:lvl>
    <w:lvl w:ilvl="7" w:tplc="E0EE9408" w:tentative="1">
      <w:start w:val="1"/>
      <w:numFmt w:val="bullet"/>
      <w:lvlText w:val="o"/>
      <w:lvlJc w:val="left"/>
      <w:pPr>
        <w:ind w:left="8788" w:hanging="360"/>
      </w:pPr>
      <w:rPr>
        <w:rFonts w:ascii="Courier New" w:hAnsi="Courier New" w:cs="Courier New" w:hint="default"/>
      </w:rPr>
    </w:lvl>
    <w:lvl w:ilvl="8" w:tplc="70F84D98" w:tentative="1">
      <w:start w:val="1"/>
      <w:numFmt w:val="bullet"/>
      <w:lvlText w:val=""/>
      <w:lvlJc w:val="left"/>
      <w:pPr>
        <w:ind w:left="9508" w:hanging="360"/>
      </w:pPr>
      <w:rPr>
        <w:rFonts w:ascii="Wingdings" w:hAnsi="Wingdings" w:hint="default"/>
      </w:rPr>
    </w:lvl>
  </w:abstractNum>
  <w:abstractNum w:abstractNumId="53" w15:restartNumberingAfterBreak="0">
    <w:nsid w:val="642A5B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5CC06CB"/>
    <w:multiLevelType w:val="multilevel"/>
    <w:tmpl w:val="08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55" w15:restartNumberingAfterBreak="0">
    <w:nsid w:val="66966731"/>
    <w:multiLevelType w:val="multilevel"/>
    <w:tmpl w:val="4112B09A"/>
    <w:lvl w:ilvl="0">
      <w:start w:val="1"/>
      <w:numFmt w:val="upperLetter"/>
      <w:pStyle w:val="Background"/>
      <w:lvlText w:val="(%1)"/>
      <w:lvlJc w:val="left"/>
      <w:pPr>
        <w:tabs>
          <w:tab w:val="num" w:pos="720"/>
        </w:tabs>
        <w:ind w:left="720" w:hanging="720"/>
      </w:pPr>
      <w:rPr>
        <w:b w:val="0"/>
        <w:i w:val="0"/>
        <w:caps/>
        <w:color w:val="000000"/>
        <w:sz w:val="20"/>
      </w:rPr>
    </w:lvl>
    <w:lvl w:ilvl="1">
      <w:start w:val="1"/>
      <w:numFmt w:val="lowerLetter"/>
      <w:pStyle w:val="BackgroundSubclause1"/>
      <w:lvlText w:val="(%2)"/>
      <w:lvlJc w:val="left"/>
      <w:pPr>
        <w:tabs>
          <w:tab w:val="num" w:pos="1555"/>
        </w:tabs>
        <w:ind w:left="1555" w:hanging="561"/>
      </w:pPr>
      <w:rPr>
        <w:b w:val="0"/>
        <w:i w:val="0"/>
        <w:caps w:val="0"/>
        <w:sz w:val="20"/>
      </w:rPr>
    </w:lvl>
    <w:lvl w:ilvl="2">
      <w:start w:val="1"/>
      <w:numFmt w:val="lowerLetter"/>
      <w:lvlText w:val="(%3)"/>
      <w:lvlJc w:val="left"/>
      <w:pPr>
        <w:tabs>
          <w:tab w:val="num" w:pos="1559"/>
        </w:tabs>
        <w:ind w:left="1559" w:hanging="567"/>
      </w:pPr>
      <w:rPr>
        <w:b w:val="0"/>
        <w:i w:val="0"/>
        <w:sz w:val="20"/>
      </w:rPr>
    </w:lvl>
    <w:lvl w:ilvl="3">
      <w:start w:val="1"/>
      <w:numFmt w:val="lowerRoman"/>
      <w:pStyle w:val="BackgroundSubclause2"/>
      <w:lvlText w:val="(%4)"/>
      <w:lvlJc w:val="left"/>
      <w:pPr>
        <w:tabs>
          <w:tab w:val="num" w:pos="2421"/>
        </w:tabs>
        <w:ind w:left="2268" w:hanging="567"/>
      </w:pPr>
      <w:rPr>
        <w:b w:val="0"/>
        <w:i w:val="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56" w15:restartNumberingAfterBreak="0">
    <w:nsid w:val="6A14466B"/>
    <w:multiLevelType w:val="hybridMultilevel"/>
    <w:tmpl w:val="2402A666"/>
    <w:lvl w:ilvl="0" w:tplc="F50A20E6">
      <w:start w:val="1"/>
      <w:numFmt w:val="bullet"/>
      <w:pStyle w:val="BulletList1"/>
      <w:lvlText w:val="·"/>
      <w:lvlJc w:val="left"/>
      <w:pPr>
        <w:tabs>
          <w:tab w:val="num" w:pos="360"/>
        </w:tabs>
        <w:ind w:left="360" w:hanging="360"/>
      </w:pPr>
      <w:rPr>
        <w:rFonts w:ascii="Symbol" w:hAnsi="Symbol" w:hint="default"/>
        <w:color w:val="000000"/>
      </w:rPr>
    </w:lvl>
    <w:lvl w:ilvl="1" w:tplc="834A25AC" w:tentative="1">
      <w:start w:val="1"/>
      <w:numFmt w:val="bullet"/>
      <w:lvlText w:val="·"/>
      <w:lvlJc w:val="left"/>
      <w:pPr>
        <w:tabs>
          <w:tab w:val="num" w:pos="1440"/>
        </w:tabs>
        <w:ind w:left="1440" w:hanging="360"/>
      </w:pPr>
      <w:rPr>
        <w:rFonts w:ascii="Symbol" w:hAnsi="Symbol" w:hint="default"/>
      </w:rPr>
    </w:lvl>
    <w:lvl w:ilvl="2" w:tplc="A18ACCAA" w:tentative="1">
      <w:start w:val="1"/>
      <w:numFmt w:val="bullet"/>
      <w:lvlText w:val="·"/>
      <w:lvlJc w:val="left"/>
      <w:pPr>
        <w:tabs>
          <w:tab w:val="num" w:pos="2160"/>
        </w:tabs>
        <w:ind w:left="2160" w:hanging="360"/>
      </w:pPr>
      <w:rPr>
        <w:rFonts w:ascii="Symbol" w:hAnsi="Symbol" w:hint="default"/>
      </w:rPr>
    </w:lvl>
    <w:lvl w:ilvl="3" w:tplc="44DC1062" w:tentative="1">
      <w:start w:val="1"/>
      <w:numFmt w:val="bullet"/>
      <w:lvlText w:val="·"/>
      <w:lvlJc w:val="left"/>
      <w:pPr>
        <w:tabs>
          <w:tab w:val="num" w:pos="2880"/>
        </w:tabs>
        <w:ind w:left="2880" w:hanging="360"/>
      </w:pPr>
      <w:rPr>
        <w:rFonts w:ascii="Symbol" w:hAnsi="Symbol" w:hint="default"/>
      </w:rPr>
    </w:lvl>
    <w:lvl w:ilvl="4" w:tplc="D0E4695E" w:tentative="1">
      <w:start w:val="1"/>
      <w:numFmt w:val="bullet"/>
      <w:lvlText w:val="o"/>
      <w:lvlJc w:val="left"/>
      <w:pPr>
        <w:tabs>
          <w:tab w:val="num" w:pos="3600"/>
        </w:tabs>
        <w:ind w:left="3600" w:hanging="360"/>
      </w:pPr>
      <w:rPr>
        <w:rFonts w:ascii="Courier New" w:hAnsi="Courier New" w:hint="default"/>
      </w:rPr>
    </w:lvl>
    <w:lvl w:ilvl="5" w:tplc="CC86B2C8" w:tentative="1">
      <w:start w:val="1"/>
      <w:numFmt w:val="bullet"/>
      <w:lvlText w:val="§"/>
      <w:lvlJc w:val="left"/>
      <w:pPr>
        <w:tabs>
          <w:tab w:val="num" w:pos="4320"/>
        </w:tabs>
        <w:ind w:left="4320" w:hanging="360"/>
      </w:pPr>
      <w:rPr>
        <w:rFonts w:ascii="Wingdings" w:hAnsi="Wingdings" w:hint="default"/>
      </w:rPr>
    </w:lvl>
    <w:lvl w:ilvl="6" w:tplc="537E64CE" w:tentative="1">
      <w:start w:val="1"/>
      <w:numFmt w:val="bullet"/>
      <w:lvlText w:val="·"/>
      <w:lvlJc w:val="left"/>
      <w:pPr>
        <w:tabs>
          <w:tab w:val="num" w:pos="5040"/>
        </w:tabs>
        <w:ind w:left="5040" w:hanging="360"/>
      </w:pPr>
      <w:rPr>
        <w:rFonts w:ascii="Symbol" w:hAnsi="Symbol" w:hint="default"/>
      </w:rPr>
    </w:lvl>
    <w:lvl w:ilvl="7" w:tplc="98BE1D38" w:tentative="1">
      <w:start w:val="1"/>
      <w:numFmt w:val="bullet"/>
      <w:lvlText w:val="o"/>
      <w:lvlJc w:val="left"/>
      <w:pPr>
        <w:tabs>
          <w:tab w:val="num" w:pos="5760"/>
        </w:tabs>
        <w:ind w:left="5760" w:hanging="360"/>
      </w:pPr>
      <w:rPr>
        <w:rFonts w:ascii="Courier New" w:hAnsi="Courier New" w:hint="default"/>
      </w:rPr>
    </w:lvl>
    <w:lvl w:ilvl="8" w:tplc="72824E8C"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CA0007E"/>
    <w:multiLevelType w:val="hybridMultilevel"/>
    <w:tmpl w:val="35D47C48"/>
    <w:lvl w:ilvl="0" w:tplc="08090015">
      <w:start w:val="1"/>
      <w:numFmt w:val="upp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9" w15:restartNumberingAfterBreak="0">
    <w:nsid w:val="74D60E30"/>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5D30113"/>
    <w:multiLevelType w:val="multilevel"/>
    <w:tmpl w:val="F6CA2D6E"/>
    <w:name w:val="CV_Bullet"/>
    <w:lvl w:ilvl="0">
      <w:start w:val="1"/>
      <w:numFmt w:val="bullet"/>
      <w:pStyle w:val="CVBullet"/>
      <w:lvlText w:val="·"/>
      <w:lvlJc w:val="left"/>
      <w:pPr>
        <w:tabs>
          <w:tab w:val="num" w:pos="360"/>
        </w:tabs>
        <w:ind w:left="360" w:hanging="360"/>
      </w:pPr>
      <w:rPr>
        <w:rFonts w:ascii="Symbol" w:hAnsi="Symbol" w:hint="default"/>
        <w:b w:val="0"/>
        <w:color w:val="auto"/>
        <w:sz w:val="22"/>
      </w:rPr>
    </w:lvl>
    <w:lvl w:ilvl="1">
      <w:start w:val="1"/>
      <w:numFmt w:val="none"/>
      <w:pStyle w:val="CVBullet2"/>
      <w:lvlText w:val="-"/>
      <w:lvlJc w:val="left"/>
      <w:pPr>
        <w:tabs>
          <w:tab w:val="num" w:pos="720"/>
        </w:tabs>
        <w:ind w:left="720" w:hanging="360"/>
      </w:pPr>
      <w:rPr>
        <w:rFonts w:hint="default"/>
        <w:b w:val="0"/>
        <w:color w:val="auto"/>
        <w:sz w:val="22"/>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61" w15:restartNumberingAfterBreak="0">
    <w:nsid w:val="771777AD"/>
    <w:multiLevelType w:val="multilevel"/>
    <w:tmpl w:val="019C28B4"/>
    <w:lvl w:ilvl="0">
      <w:start w:val="1"/>
      <w:numFmt w:val="decimal"/>
      <w:pStyle w:val="Parties"/>
      <w:lvlText w:val="(%1)"/>
      <w:lvlJc w:val="left"/>
      <w:pPr>
        <w:tabs>
          <w:tab w:val="num" w:pos="720"/>
        </w:tabs>
        <w:ind w:left="720" w:hanging="720"/>
      </w:pPr>
      <w:rPr>
        <w:color w:val="000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A6F42AD"/>
    <w:multiLevelType w:val="hybridMultilevel"/>
    <w:tmpl w:val="A44A5CD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7B943FBB"/>
    <w:multiLevelType w:val="multilevel"/>
    <w:tmpl w:val="38CAE51A"/>
    <w:name w:val="Defininitions"/>
    <w:lvl w:ilvl="0">
      <w:start w:val="1"/>
      <w:numFmt w:val="none"/>
      <w:suff w:val="nothing"/>
      <w:lvlText w:val=""/>
      <w:lvlJc w:val="left"/>
      <w:pPr>
        <w:ind w:left="720" w:firstLine="0"/>
      </w:pPr>
      <w:rPr>
        <w:rFonts w:ascii="Calibri" w:hAnsi="Calibri" w:hint="default"/>
        <w:b w:val="0"/>
        <w:sz w:val="22"/>
      </w:rPr>
    </w:lvl>
    <w:lvl w:ilvl="1">
      <w:start w:val="1"/>
      <w:numFmt w:val="lowerLetter"/>
      <w:pStyle w:val="Definition1"/>
      <w:lvlText w:val="(%2)"/>
      <w:lvlJc w:val="left"/>
      <w:pPr>
        <w:tabs>
          <w:tab w:val="num" w:pos="1440"/>
        </w:tabs>
        <w:ind w:left="1440" w:hanging="720"/>
      </w:pPr>
      <w:rPr>
        <w:rFonts w:ascii="Arial" w:hAnsi="Arial" w:hint="default"/>
        <w:b w:val="0"/>
        <w:sz w:val="20"/>
      </w:rPr>
    </w:lvl>
    <w:lvl w:ilvl="2">
      <w:start w:val="1"/>
      <w:numFmt w:val="lowerRoman"/>
      <w:pStyle w:val="Definition2"/>
      <w:lvlText w:val="(%3)"/>
      <w:lvlJc w:val="left"/>
      <w:pPr>
        <w:tabs>
          <w:tab w:val="num" w:pos="2160"/>
        </w:tabs>
        <w:ind w:left="2160" w:hanging="720"/>
      </w:pPr>
      <w:rPr>
        <w:rFonts w:ascii="Arial" w:hAnsi="Arial" w:hint="default"/>
        <w:b w:val="0"/>
        <w:sz w:val="20"/>
      </w:rPr>
    </w:lvl>
    <w:lvl w:ilvl="3">
      <w:start w:val="1"/>
      <w:numFmt w:val="upperLetter"/>
      <w:pStyle w:val="Definition3"/>
      <w:lvlText w:val="(%1%4)"/>
      <w:lvlJc w:val="left"/>
      <w:pPr>
        <w:tabs>
          <w:tab w:val="num" w:pos="2880"/>
        </w:tabs>
        <w:ind w:left="2880" w:hanging="720"/>
      </w:pPr>
      <w:rPr>
        <w:rFonts w:ascii="Arial" w:hAnsi="Arial" w:hint="default"/>
        <w:b w:val="0"/>
        <w:sz w:val="20"/>
      </w:rPr>
    </w:lvl>
    <w:lvl w:ilvl="4">
      <w:start w:val="1"/>
      <w:numFmt w:val="decimal"/>
      <w:lvlText w:val="%1(%5)"/>
      <w:lvlJc w:val="left"/>
      <w:pPr>
        <w:tabs>
          <w:tab w:val="num" w:pos="3600"/>
        </w:tabs>
        <w:ind w:left="3600" w:hanging="720"/>
      </w:pPr>
      <w:rPr>
        <w:rFonts w:ascii="Calibri" w:hAnsi="Calibri" w:hint="default"/>
        <w:b w:val="0"/>
        <w:sz w:val="22"/>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abstractNum w:abstractNumId="64" w15:restartNumberingAfterBreak="0">
    <w:nsid w:val="7DB56451"/>
    <w:multiLevelType w:val="multilevel"/>
    <w:tmpl w:val="7DB56451"/>
    <w:styleLink w:val="ScheduleListStyle"/>
    <w:lvl w:ilvl="0">
      <w:start w:val="1"/>
      <w:numFmt w:val="decimal"/>
      <w:lvlText w:val="Schedule %1"/>
      <w:lvlJc w:val="left"/>
      <w:pPr>
        <w:tabs>
          <w:tab w:val="num" w:pos="0"/>
        </w:tabs>
        <w:ind w:left="360" w:hanging="360"/>
      </w:pPr>
      <w:rPr>
        <w:rFonts w:hint="default"/>
        <w:color w:val="000000"/>
      </w:rPr>
    </w:lvl>
    <w:lvl w:ilvl="1">
      <w:numFmt w:val="none"/>
      <w:lvlRestart w:val="0"/>
      <w:suff w:val="nothing"/>
      <w:lvlText w:val=""/>
      <w:lvlJc w:val="left"/>
      <w:pPr>
        <w:tabs>
          <w:tab w:val="num" w:pos="0"/>
        </w:tabs>
        <w:ind w:left="0" w:firstLine="0"/>
      </w:pPr>
    </w:lvl>
    <w:lvl w:ilvl="2">
      <w:numFmt w:val="none"/>
      <w:lvlRestart w:val="0"/>
      <w:suff w:val="nothing"/>
      <w:lvlText w:val=""/>
      <w:lvlJc w:val="left"/>
      <w:pPr>
        <w:tabs>
          <w:tab w:val="num" w:pos="0"/>
        </w:tabs>
        <w:ind w:left="0" w:firstLine="0"/>
      </w:pPr>
    </w:lvl>
    <w:lvl w:ilvl="3">
      <w:numFmt w:val="none"/>
      <w:lvlRestart w:val="0"/>
      <w:suff w:val="nothing"/>
      <w:lvlText w:val=""/>
      <w:lvlJc w:val="left"/>
      <w:pPr>
        <w:tabs>
          <w:tab w:val="num" w:pos="0"/>
        </w:tabs>
        <w:ind w:left="0" w:firstLine="0"/>
      </w:pPr>
    </w:lvl>
    <w:lvl w:ilvl="4">
      <w:numFmt w:val="none"/>
      <w:lvlRestart w:val="0"/>
      <w:suff w:val="nothing"/>
      <w:lvlText w:val=""/>
      <w:lvlJc w:val="left"/>
      <w:pPr>
        <w:tabs>
          <w:tab w:val="num" w:pos="0"/>
        </w:tabs>
        <w:ind w:left="0" w:firstLine="0"/>
      </w:pPr>
    </w:lvl>
    <w:lvl w:ilvl="5">
      <w:numFmt w:val="none"/>
      <w:lvlRestart w:val="0"/>
      <w:suff w:val="nothing"/>
      <w:lvlText w:val=""/>
      <w:lvlJc w:val="left"/>
      <w:pPr>
        <w:tabs>
          <w:tab w:val="num" w:pos="0"/>
        </w:tabs>
        <w:ind w:left="0" w:firstLine="0"/>
      </w:pPr>
    </w:lvl>
    <w:lvl w:ilvl="6">
      <w:numFmt w:val="none"/>
      <w:lvlRestart w:val="0"/>
      <w:suff w:val="nothing"/>
      <w:lvlText w:val=""/>
      <w:lvlJc w:val="left"/>
      <w:pPr>
        <w:tabs>
          <w:tab w:val="num" w:pos="0"/>
        </w:tabs>
        <w:ind w:left="0" w:firstLine="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65" w15:restartNumberingAfterBreak="0">
    <w:nsid w:val="7E7A534F"/>
    <w:multiLevelType w:val="hybridMultilevel"/>
    <w:tmpl w:val="6ED44D00"/>
    <w:lvl w:ilvl="0" w:tplc="5624048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EE9104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46662123">
    <w:abstractNumId w:val="55"/>
  </w:num>
  <w:num w:numId="2" w16cid:durableId="1951357523">
    <w:abstractNumId w:val="56"/>
  </w:num>
  <w:num w:numId="3" w16cid:durableId="694381030">
    <w:abstractNumId w:val="61"/>
  </w:num>
  <w:num w:numId="4" w16cid:durableId="1000621215">
    <w:abstractNumId w:val="15"/>
  </w:num>
  <w:num w:numId="5" w16cid:durableId="116140351">
    <w:abstractNumId w:val="28"/>
  </w:num>
  <w:num w:numId="6" w16cid:durableId="492644917">
    <w:abstractNumId w:val="25"/>
  </w:num>
  <w:num w:numId="7" w16cid:durableId="348677740">
    <w:abstractNumId w:val="20"/>
  </w:num>
  <w:num w:numId="8" w16cid:durableId="1363625735">
    <w:abstractNumId w:val="18"/>
  </w:num>
  <w:num w:numId="9" w16cid:durableId="531265802">
    <w:abstractNumId w:val="44"/>
  </w:num>
  <w:num w:numId="10" w16cid:durableId="1638955351">
    <w:abstractNumId w:val="50"/>
  </w:num>
  <w:num w:numId="11" w16cid:durableId="17584727">
    <w:abstractNumId w:val="29"/>
  </w:num>
  <w:num w:numId="12" w16cid:durableId="653949722">
    <w:abstractNumId w:val="40"/>
  </w:num>
  <w:num w:numId="13" w16cid:durableId="181016004">
    <w:abstractNumId w:val="37"/>
  </w:num>
  <w:num w:numId="14" w16cid:durableId="1704283444">
    <w:abstractNumId w:val="39"/>
  </w:num>
  <w:num w:numId="15" w16cid:durableId="1881429926">
    <w:abstractNumId w:val="36"/>
  </w:num>
  <w:num w:numId="16" w16cid:durableId="767427344">
    <w:abstractNumId w:val="23"/>
  </w:num>
  <w:num w:numId="17" w16cid:durableId="885332854">
    <w:abstractNumId w:val="52"/>
  </w:num>
  <w:num w:numId="18" w16cid:durableId="331497338">
    <w:abstractNumId w:val="3"/>
  </w:num>
  <w:num w:numId="19" w16cid:durableId="272202702">
    <w:abstractNumId w:val="9"/>
  </w:num>
  <w:num w:numId="20" w16cid:durableId="1191723021">
    <w:abstractNumId w:val="1"/>
  </w:num>
  <w:num w:numId="21" w16cid:durableId="1980721385">
    <w:abstractNumId w:val="57"/>
  </w:num>
  <w:num w:numId="22" w16cid:durableId="705831740">
    <w:abstractNumId w:val="64"/>
  </w:num>
  <w:num w:numId="23" w16cid:durableId="1728527698">
    <w:abstractNumId w:val="63"/>
  </w:num>
  <w:num w:numId="24" w16cid:durableId="619460715">
    <w:abstractNumId w:val="27"/>
  </w:num>
  <w:num w:numId="25" w16cid:durableId="1730154786">
    <w:abstractNumId w:val="35"/>
  </w:num>
  <w:num w:numId="26" w16cid:durableId="1322004511">
    <w:abstractNumId w:val="30"/>
  </w:num>
  <w:num w:numId="27" w16cid:durableId="866680680">
    <w:abstractNumId w:val="42"/>
  </w:num>
  <w:num w:numId="28" w16cid:durableId="205221116">
    <w:abstractNumId w:val="47"/>
  </w:num>
  <w:num w:numId="29" w16cid:durableId="21379864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7314582">
    <w:abstractNumId w:val="0"/>
  </w:num>
  <w:num w:numId="31" w16cid:durableId="846792117">
    <w:abstractNumId w:val="12"/>
  </w:num>
  <w:num w:numId="32" w16cid:durableId="335812118">
    <w:abstractNumId w:val="13"/>
  </w:num>
  <w:num w:numId="33" w16cid:durableId="2010330407">
    <w:abstractNumId w:val="60"/>
  </w:num>
  <w:num w:numId="34" w16cid:durableId="15156131">
    <w:abstractNumId w:val="11"/>
  </w:num>
  <w:num w:numId="35" w16cid:durableId="171990427">
    <w:abstractNumId w:val="48"/>
  </w:num>
  <w:num w:numId="36" w16cid:durableId="994526584">
    <w:abstractNumId w:val="22"/>
  </w:num>
  <w:num w:numId="37" w16cid:durableId="142427797">
    <w:abstractNumId w:val="14"/>
  </w:num>
  <w:num w:numId="38" w16cid:durableId="953750249">
    <w:abstractNumId w:val="2"/>
  </w:num>
  <w:num w:numId="39" w16cid:durableId="1852912742">
    <w:abstractNumId w:val="59"/>
  </w:num>
  <w:num w:numId="40" w16cid:durableId="1244605313">
    <w:abstractNumId w:val="33"/>
  </w:num>
  <w:num w:numId="41" w16cid:durableId="1654481338">
    <w:abstractNumId w:val="54"/>
  </w:num>
  <w:num w:numId="42" w16cid:durableId="1482961623">
    <w:abstractNumId w:val="10"/>
  </w:num>
  <w:num w:numId="43" w16cid:durableId="1028143512">
    <w:abstractNumId w:val="24"/>
  </w:num>
  <w:num w:numId="44" w16cid:durableId="1638874889">
    <w:abstractNumId w:val="62"/>
  </w:num>
  <w:num w:numId="45" w16cid:durableId="1682077371">
    <w:abstractNumId w:val="26"/>
  </w:num>
  <w:num w:numId="46" w16cid:durableId="914322096">
    <w:abstractNumId w:val="6"/>
  </w:num>
  <w:num w:numId="47" w16cid:durableId="1404176374">
    <w:abstractNumId w:val="4"/>
  </w:num>
  <w:num w:numId="48" w16cid:durableId="1693265808">
    <w:abstractNumId w:val="45"/>
  </w:num>
  <w:num w:numId="49" w16cid:durableId="1878663107">
    <w:abstractNumId w:val="31"/>
  </w:num>
  <w:num w:numId="50" w16cid:durableId="2066829763">
    <w:abstractNumId w:val="51"/>
  </w:num>
  <w:num w:numId="51" w16cid:durableId="296449952">
    <w:abstractNumId w:val="8"/>
  </w:num>
  <w:num w:numId="52" w16cid:durableId="1301954922">
    <w:abstractNumId w:val="54"/>
  </w:num>
  <w:num w:numId="53" w16cid:durableId="1313216259">
    <w:abstractNumId w:val="54"/>
  </w:num>
  <w:num w:numId="54" w16cid:durableId="313535742">
    <w:abstractNumId w:val="43"/>
  </w:num>
  <w:num w:numId="55" w16cid:durableId="1117261994">
    <w:abstractNumId w:val="66"/>
  </w:num>
  <w:num w:numId="56" w16cid:durableId="2006008169">
    <w:abstractNumId w:val="38"/>
  </w:num>
  <w:num w:numId="57" w16cid:durableId="1530530808">
    <w:abstractNumId w:val="49"/>
  </w:num>
  <w:num w:numId="58" w16cid:durableId="180634446">
    <w:abstractNumId w:val="34"/>
  </w:num>
  <w:num w:numId="59" w16cid:durableId="330374679">
    <w:abstractNumId w:val="5"/>
  </w:num>
  <w:num w:numId="60" w16cid:durableId="1470634176">
    <w:abstractNumId w:val="19"/>
  </w:num>
  <w:num w:numId="61" w16cid:durableId="132448317">
    <w:abstractNumId w:val="41"/>
  </w:num>
  <w:num w:numId="62" w16cid:durableId="674454456">
    <w:abstractNumId w:val="58"/>
  </w:num>
  <w:num w:numId="63" w16cid:durableId="1360542312">
    <w:abstractNumId w:val="46"/>
  </w:num>
  <w:num w:numId="64" w16cid:durableId="632640808">
    <w:abstractNumId w:val="16"/>
  </w:num>
  <w:num w:numId="65" w16cid:durableId="658968042">
    <w:abstractNumId w:val="65"/>
  </w:num>
  <w:num w:numId="66" w16cid:durableId="83235180">
    <w:abstractNumId w:val="7"/>
  </w:num>
  <w:num w:numId="67" w16cid:durableId="1881044204">
    <w:abstractNumId w:val="53"/>
  </w:num>
  <w:num w:numId="68" w16cid:durableId="1082684398">
    <w:abstractNumId w:val="32"/>
  </w:num>
  <w:num w:numId="69" w16cid:durableId="256522131">
    <w:abstractNumId w:val="54"/>
  </w:num>
  <w:num w:numId="70" w16cid:durableId="1995644827">
    <w:abstractNumId w:val="17"/>
  </w:num>
  <w:num w:numId="71" w16cid:durableId="854881372">
    <w:abstractNumId w:val="54"/>
  </w:num>
  <w:num w:numId="72" w16cid:durableId="1085230460">
    <w:abstractNumId w:val="54"/>
  </w:num>
  <w:num w:numId="73" w16cid:durableId="1815566759">
    <w:abstractNumId w:val="54"/>
  </w:num>
  <w:num w:numId="74" w16cid:durableId="952710390">
    <w:abstractNumId w:val="54"/>
  </w:num>
  <w:num w:numId="75" w16cid:durableId="1606813926">
    <w:abstractNumId w:val="54"/>
  </w:num>
  <w:num w:numId="76" w16cid:durableId="385495552">
    <w:abstractNumId w:val="54"/>
  </w:num>
  <w:num w:numId="77" w16cid:durableId="2130316035">
    <w:abstractNumId w:val="54"/>
  </w:num>
  <w:num w:numId="78" w16cid:durableId="1849130687">
    <w:abstractNumId w:val="54"/>
  </w:num>
  <w:num w:numId="79" w16cid:durableId="44184280">
    <w:abstractNumId w:val="54"/>
  </w:num>
  <w:num w:numId="80" w16cid:durableId="854417943">
    <w:abstractNumId w:val="54"/>
  </w:num>
  <w:num w:numId="81" w16cid:durableId="216626653">
    <w:abstractNumId w:val="54"/>
  </w:num>
  <w:num w:numId="82" w16cid:durableId="520514325">
    <w:abstractNumId w:val="54"/>
  </w:num>
  <w:num w:numId="83" w16cid:durableId="1034500177">
    <w:abstractNumId w:val="54"/>
  </w:num>
  <w:num w:numId="84" w16cid:durableId="279609081">
    <w:abstractNumId w:val="54"/>
  </w:num>
  <w:num w:numId="85" w16cid:durableId="481240207">
    <w:abstractNumId w:val="54"/>
  </w:num>
  <w:num w:numId="86" w16cid:durableId="1437408411">
    <w:abstractNumId w:val="5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PartsVariable" w:val="&lt;docParts&gt;_x000d__x000a_  &lt;Precedent&gt;agreement&lt;/Precedent&gt;_x000d__x000a_  &lt;Operative&gt;paragraph&lt;/Operative&gt;_x000d__x000a_  &lt;TemplateType&gt;null&lt;/TemplateType&gt;_x000d__x000a_  &lt;SignaturePageBreakType&gt;Yes without message&lt;/SignaturePageBreakType&gt;_x000d__x000a_&lt;/docParts&gt;"/>
    <w:docVar w:name="gentXMLPartID" w:val="{DDFAE056-3272-4CD6-9FC4-20D9502D709C}"/>
  </w:docVars>
  <w:rsids>
    <w:rsidRoot w:val="00AF2805"/>
    <w:rsid w:val="0000068A"/>
    <w:rsid w:val="00001E64"/>
    <w:rsid w:val="00003093"/>
    <w:rsid w:val="0001525C"/>
    <w:rsid w:val="0002062A"/>
    <w:rsid w:val="00022227"/>
    <w:rsid w:val="00024B8A"/>
    <w:rsid w:val="0003114D"/>
    <w:rsid w:val="000311D1"/>
    <w:rsid w:val="00033B83"/>
    <w:rsid w:val="00034AF9"/>
    <w:rsid w:val="00036862"/>
    <w:rsid w:val="00037706"/>
    <w:rsid w:val="00037B1F"/>
    <w:rsid w:val="0004003B"/>
    <w:rsid w:val="00040469"/>
    <w:rsid w:val="00040DD7"/>
    <w:rsid w:val="00047E13"/>
    <w:rsid w:val="000506D1"/>
    <w:rsid w:val="00052041"/>
    <w:rsid w:val="00052E4E"/>
    <w:rsid w:val="0005464B"/>
    <w:rsid w:val="00060FA4"/>
    <w:rsid w:val="0006310A"/>
    <w:rsid w:val="0006380F"/>
    <w:rsid w:val="000706C5"/>
    <w:rsid w:val="0007685A"/>
    <w:rsid w:val="00080DB2"/>
    <w:rsid w:val="0008667C"/>
    <w:rsid w:val="0008716E"/>
    <w:rsid w:val="00087A57"/>
    <w:rsid w:val="00094072"/>
    <w:rsid w:val="00095A4C"/>
    <w:rsid w:val="00096940"/>
    <w:rsid w:val="000A09C5"/>
    <w:rsid w:val="000A6547"/>
    <w:rsid w:val="000A6B75"/>
    <w:rsid w:val="000B58D6"/>
    <w:rsid w:val="000B5AA0"/>
    <w:rsid w:val="000B6109"/>
    <w:rsid w:val="000C120E"/>
    <w:rsid w:val="000C2BBF"/>
    <w:rsid w:val="000C4C20"/>
    <w:rsid w:val="000C4F0F"/>
    <w:rsid w:val="000C60FF"/>
    <w:rsid w:val="000C6808"/>
    <w:rsid w:val="000C6899"/>
    <w:rsid w:val="000C6FD7"/>
    <w:rsid w:val="000D2D29"/>
    <w:rsid w:val="000D3500"/>
    <w:rsid w:val="000D36FA"/>
    <w:rsid w:val="000D38D3"/>
    <w:rsid w:val="000D5F73"/>
    <w:rsid w:val="000D6C61"/>
    <w:rsid w:val="000E3742"/>
    <w:rsid w:val="000E3C47"/>
    <w:rsid w:val="000E4A34"/>
    <w:rsid w:val="000E5449"/>
    <w:rsid w:val="000E7042"/>
    <w:rsid w:val="000E7D6E"/>
    <w:rsid w:val="000F3F79"/>
    <w:rsid w:val="001008E0"/>
    <w:rsid w:val="00102732"/>
    <w:rsid w:val="0010625F"/>
    <w:rsid w:val="0010791C"/>
    <w:rsid w:val="00110EE6"/>
    <w:rsid w:val="0011258C"/>
    <w:rsid w:val="00115297"/>
    <w:rsid w:val="00116432"/>
    <w:rsid w:val="0012116D"/>
    <w:rsid w:val="00124500"/>
    <w:rsid w:val="00126C1F"/>
    <w:rsid w:val="001333FD"/>
    <w:rsid w:val="00134616"/>
    <w:rsid w:val="00137FF8"/>
    <w:rsid w:val="0014105B"/>
    <w:rsid w:val="0014157D"/>
    <w:rsid w:val="001416DB"/>
    <w:rsid w:val="001459D1"/>
    <w:rsid w:val="00146290"/>
    <w:rsid w:val="00147B45"/>
    <w:rsid w:val="0015255E"/>
    <w:rsid w:val="0015591C"/>
    <w:rsid w:val="00160323"/>
    <w:rsid w:val="00160FC6"/>
    <w:rsid w:val="00161A5E"/>
    <w:rsid w:val="00161B34"/>
    <w:rsid w:val="00162E48"/>
    <w:rsid w:val="00163151"/>
    <w:rsid w:val="0016421F"/>
    <w:rsid w:val="00164764"/>
    <w:rsid w:val="00165F10"/>
    <w:rsid w:val="00166D4A"/>
    <w:rsid w:val="001710A7"/>
    <w:rsid w:val="00171423"/>
    <w:rsid w:val="00181F40"/>
    <w:rsid w:val="00182FB0"/>
    <w:rsid w:val="00182FC9"/>
    <w:rsid w:val="00184FA9"/>
    <w:rsid w:val="0019197F"/>
    <w:rsid w:val="001A5B14"/>
    <w:rsid w:val="001A6FF8"/>
    <w:rsid w:val="001B1319"/>
    <w:rsid w:val="001B19B3"/>
    <w:rsid w:val="001B1BE4"/>
    <w:rsid w:val="001B610E"/>
    <w:rsid w:val="001B71FC"/>
    <w:rsid w:val="001C030D"/>
    <w:rsid w:val="001C1024"/>
    <w:rsid w:val="001C2F79"/>
    <w:rsid w:val="001D07D9"/>
    <w:rsid w:val="001D213C"/>
    <w:rsid w:val="001D3A85"/>
    <w:rsid w:val="001E0A28"/>
    <w:rsid w:val="001E662B"/>
    <w:rsid w:val="001E7F16"/>
    <w:rsid w:val="001F1681"/>
    <w:rsid w:val="001F40D2"/>
    <w:rsid w:val="001F7BDE"/>
    <w:rsid w:val="00201985"/>
    <w:rsid w:val="00203E15"/>
    <w:rsid w:val="00207480"/>
    <w:rsid w:val="00213B83"/>
    <w:rsid w:val="00215CFB"/>
    <w:rsid w:val="00216E66"/>
    <w:rsid w:val="00221B0D"/>
    <w:rsid w:val="002241EA"/>
    <w:rsid w:val="00225816"/>
    <w:rsid w:val="00225D83"/>
    <w:rsid w:val="002305EE"/>
    <w:rsid w:val="00230AF5"/>
    <w:rsid w:val="002311A9"/>
    <w:rsid w:val="00232EA0"/>
    <w:rsid w:val="00234A55"/>
    <w:rsid w:val="00235689"/>
    <w:rsid w:val="002401D4"/>
    <w:rsid w:val="002406C6"/>
    <w:rsid w:val="00241116"/>
    <w:rsid w:val="0024255B"/>
    <w:rsid w:val="00243446"/>
    <w:rsid w:val="00243D0C"/>
    <w:rsid w:val="00244290"/>
    <w:rsid w:val="00250112"/>
    <w:rsid w:val="002504A0"/>
    <w:rsid w:val="0025057A"/>
    <w:rsid w:val="002523E6"/>
    <w:rsid w:val="00254A3A"/>
    <w:rsid w:val="00255344"/>
    <w:rsid w:val="0026071B"/>
    <w:rsid w:val="002614E2"/>
    <w:rsid w:val="00267110"/>
    <w:rsid w:val="00276F23"/>
    <w:rsid w:val="00281CEA"/>
    <w:rsid w:val="00283FF5"/>
    <w:rsid w:val="00286F94"/>
    <w:rsid w:val="002878D8"/>
    <w:rsid w:val="00295608"/>
    <w:rsid w:val="00295C30"/>
    <w:rsid w:val="00297122"/>
    <w:rsid w:val="002A3572"/>
    <w:rsid w:val="002A388C"/>
    <w:rsid w:val="002A48C7"/>
    <w:rsid w:val="002A5A5F"/>
    <w:rsid w:val="002B0A86"/>
    <w:rsid w:val="002B3465"/>
    <w:rsid w:val="002B4392"/>
    <w:rsid w:val="002B4564"/>
    <w:rsid w:val="002B5B78"/>
    <w:rsid w:val="002C04D6"/>
    <w:rsid w:val="002C0C31"/>
    <w:rsid w:val="002C5F8A"/>
    <w:rsid w:val="002D336C"/>
    <w:rsid w:val="002D41E1"/>
    <w:rsid w:val="002D58FE"/>
    <w:rsid w:val="002D6379"/>
    <w:rsid w:val="002E09D4"/>
    <w:rsid w:val="002E24BD"/>
    <w:rsid w:val="002E5AF5"/>
    <w:rsid w:val="002F165F"/>
    <w:rsid w:val="002F50BD"/>
    <w:rsid w:val="002F5C89"/>
    <w:rsid w:val="002F5CB8"/>
    <w:rsid w:val="00310822"/>
    <w:rsid w:val="00311DF1"/>
    <w:rsid w:val="0031339E"/>
    <w:rsid w:val="00314AB3"/>
    <w:rsid w:val="00323BE9"/>
    <w:rsid w:val="00324D48"/>
    <w:rsid w:val="00325C41"/>
    <w:rsid w:val="00332A3F"/>
    <w:rsid w:val="003341FC"/>
    <w:rsid w:val="003342C0"/>
    <w:rsid w:val="0033777F"/>
    <w:rsid w:val="003410B4"/>
    <w:rsid w:val="0034411E"/>
    <w:rsid w:val="003450C2"/>
    <w:rsid w:val="00353561"/>
    <w:rsid w:val="0035758D"/>
    <w:rsid w:val="00360D36"/>
    <w:rsid w:val="00361AEF"/>
    <w:rsid w:val="0036212F"/>
    <w:rsid w:val="003655C0"/>
    <w:rsid w:val="00365CC5"/>
    <w:rsid w:val="00375487"/>
    <w:rsid w:val="0037651B"/>
    <w:rsid w:val="003766D8"/>
    <w:rsid w:val="003778C3"/>
    <w:rsid w:val="0038230C"/>
    <w:rsid w:val="00385375"/>
    <w:rsid w:val="00386266"/>
    <w:rsid w:val="0038738F"/>
    <w:rsid w:val="003918CD"/>
    <w:rsid w:val="00391BEB"/>
    <w:rsid w:val="00392A7B"/>
    <w:rsid w:val="00394402"/>
    <w:rsid w:val="00395668"/>
    <w:rsid w:val="003978EA"/>
    <w:rsid w:val="003A0004"/>
    <w:rsid w:val="003A00AC"/>
    <w:rsid w:val="003A01C4"/>
    <w:rsid w:val="003A0FBE"/>
    <w:rsid w:val="003A200F"/>
    <w:rsid w:val="003A38EC"/>
    <w:rsid w:val="003A6E84"/>
    <w:rsid w:val="003A6EED"/>
    <w:rsid w:val="003A73D5"/>
    <w:rsid w:val="003B41A9"/>
    <w:rsid w:val="003B64BA"/>
    <w:rsid w:val="003C1488"/>
    <w:rsid w:val="003C1EF5"/>
    <w:rsid w:val="003C20EC"/>
    <w:rsid w:val="003C2A3E"/>
    <w:rsid w:val="003C2FD5"/>
    <w:rsid w:val="003D024B"/>
    <w:rsid w:val="003D2198"/>
    <w:rsid w:val="003D3C8D"/>
    <w:rsid w:val="003D3F4C"/>
    <w:rsid w:val="003D5ABF"/>
    <w:rsid w:val="003E06BD"/>
    <w:rsid w:val="003E1AAC"/>
    <w:rsid w:val="003F1C81"/>
    <w:rsid w:val="003F3B24"/>
    <w:rsid w:val="003F4D7C"/>
    <w:rsid w:val="0040049C"/>
    <w:rsid w:val="004019B8"/>
    <w:rsid w:val="00402600"/>
    <w:rsid w:val="004049A3"/>
    <w:rsid w:val="00404E3C"/>
    <w:rsid w:val="0040755D"/>
    <w:rsid w:val="0041069F"/>
    <w:rsid w:val="00413A9B"/>
    <w:rsid w:val="00413CC8"/>
    <w:rsid w:val="004145F9"/>
    <w:rsid w:val="004149CF"/>
    <w:rsid w:val="00414D0B"/>
    <w:rsid w:val="00422812"/>
    <w:rsid w:val="00424294"/>
    <w:rsid w:val="00424CEF"/>
    <w:rsid w:val="00424FDC"/>
    <w:rsid w:val="00425F01"/>
    <w:rsid w:val="00427122"/>
    <w:rsid w:val="00427741"/>
    <w:rsid w:val="00430813"/>
    <w:rsid w:val="0043347C"/>
    <w:rsid w:val="0043384B"/>
    <w:rsid w:val="004339A3"/>
    <w:rsid w:val="004347A7"/>
    <w:rsid w:val="00435506"/>
    <w:rsid w:val="0043570C"/>
    <w:rsid w:val="004366F6"/>
    <w:rsid w:val="00437D2F"/>
    <w:rsid w:val="00437D5F"/>
    <w:rsid w:val="004403A5"/>
    <w:rsid w:val="004410BD"/>
    <w:rsid w:val="00446F37"/>
    <w:rsid w:val="00447C0B"/>
    <w:rsid w:val="0045531A"/>
    <w:rsid w:val="004578EB"/>
    <w:rsid w:val="004714FE"/>
    <w:rsid w:val="00472FCF"/>
    <w:rsid w:val="00473051"/>
    <w:rsid w:val="0047323D"/>
    <w:rsid w:val="00475547"/>
    <w:rsid w:val="00475D5A"/>
    <w:rsid w:val="004762C3"/>
    <w:rsid w:val="00477638"/>
    <w:rsid w:val="00480B49"/>
    <w:rsid w:val="00481B8D"/>
    <w:rsid w:val="00481E91"/>
    <w:rsid w:val="0048247B"/>
    <w:rsid w:val="0049129D"/>
    <w:rsid w:val="00495F71"/>
    <w:rsid w:val="00496A87"/>
    <w:rsid w:val="004A17D1"/>
    <w:rsid w:val="004A2109"/>
    <w:rsid w:val="004A21EC"/>
    <w:rsid w:val="004A3C54"/>
    <w:rsid w:val="004A3F28"/>
    <w:rsid w:val="004A6B7E"/>
    <w:rsid w:val="004B1EAD"/>
    <w:rsid w:val="004B32DB"/>
    <w:rsid w:val="004B3747"/>
    <w:rsid w:val="004B4648"/>
    <w:rsid w:val="004B53B4"/>
    <w:rsid w:val="004B70EA"/>
    <w:rsid w:val="004C200A"/>
    <w:rsid w:val="004C20F5"/>
    <w:rsid w:val="004C2190"/>
    <w:rsid w:val="004C4EF4"/>
    <w:rsid w:val="004C5721"/>
    <w:rsid w:val="004C58AC"/>
    <w:rsid w:val="004C728C"/>
    <w:rsid w:val="004D0300"/>
    <w:rsid w:val="004D1E65"/>
    <w:rsid w:val="004D2D5A"/>
    <w:rsid w:val="004D32A4"/>
    <w:rsid w:val="004D3576"/>
    <w:rsid w:val="004D4AAD"/>
    <w:rsid w:val="004D6208"/>
    <w:rsid w:val="004D6339"/>
    <w:rsid w:val="004E0775"/>
    <w:rsid w:val="004E0967"/>
    <w:rsid w:val="004E0D24"/>
    <w:rsid w:val="004E1091"/>
    <w:rsid w:val="004E1CAF"/>
    <w:rsid w:val="004E5D47"/>
    <w:rsid w:val="004E66DE"/>
    <w:rsid w:val="004E70BD"/>
    <w:rsid w:val="004F739A"/>
    <w:rsid w:val="004F7BFF"/>
    <w:rsid w:val="00502013"/>
    <w:rsid w:val="00502D68"/>
    <w:rsid w:val="005036F0"/>
    <w:rsid w:val="005039D5"/>
    <w:rsid w:val="00505104"/>
    <w:rsid w:val="00506386"/>
    <w:rsid w:val="00510278"/>
    <w:rsid w:val="00512AFC"/>
    <w:rsid w:val="00513B71"/>
    <w:rsid w:val="0051695D"/>
    <w:rsid w:val="00521D4B"/>
    <w:rsid w:val="00522880"/>
    <w:rsid w:val="0052640A"/>
    <w:rsid w:val="00527246"/>
    <w:rsid w:val="00530507"/>
    <w:rsid w:val="00530973"/>
    <w:rsid w:val="005360B3"/>
    <w:rsid w:val="00536AB8"/>
    <w:rsid w:val="00536EA1"/>
    <w:rsid w:val="00543B8D"/>
    <w:rsid w:val="00546118"/>
    <w:rsid w:val="005536F7"/>
    <w:rsid w:val="00557688"/>
    <w:rsid w:val="005657D1"/>
    <w:rsid w:val="00566568"/>
    <w:rsid w:val="00572C24"/>
    <w:rsid w:val="00573E5D"/>
    <w:rsid w:val="005747EF"/>
    <w:rsid w:val="00574FC3"/>
    <w:rsid w:val="005763F6"/>
    <w:rsid w:val="00580131"/>
    <w:rsid w:val="00581412"/>
    <w:rsid w:val="0058160B"/>
    <w:rsid w:val="005841B5"/>
    <w:rsid w:val="0058646B"/>
    <w:rsid w:val="00593E93"/>
    <w:rsid w:val="005975C8"/>
    <w:rsid w:val="00597C52"/>
    <w:rsid w:val="005A12D1"/>
    <w:rsid w:val="005A30CB"/>
    <w:rsid w:val="005A3200"/>
    <w:rsid w:val="005A4337"/>
    <w:rsid w:val="005A4413"/>
    <w:rsid w:val="005A67F8"/>
    <w:rsid w:val="005A768B"/>
    <w:rsid w:val="005B1DC9"/>
    <w:rsid w:val="005B2E3B"/>
    <w:rsid w:val="005B35E7"/>
    <w:rsid w:val="005B3950"/>
    <w:rsid w:val="005B556B"/>
    <w:rsid w:val="005B5D6D"/>
    <w:rsid w:val="005B5DB3"/>
    <w:rsid w:val="005B6A29"/>
    <w:rsid w:val="005C4589"/>
    <w:rsid w:val="005C762B"/>
    <w:rsid w:val="005D4563"/>
    <w:rsid w:val="005D73B5"/>
    <w:rsid w:val="005E03B9"/>
    <w:rsid w:val="005E0426"/>
    <w:rsid w:val="005E27F0"/>
    <w:rsid w:val="005E3354"/>
    <w:rsid w:val="005E3A7F"/>
    <w:rsid w:val="005E5E95"/>
    <w:rsid w:val="005F0F4C"/>
    <w:rsid w:val="005F4975"/>
    <w:rsid w:val="006010A3"/>
    <w:rsid w:val="00611161"/>
    <w:rsid w:val="00613298"/>
    <w:rsid w:val="00613F65"/>
    <w:rsid w:val="00614ED2"/>
    <w:rsid w:val="006153FF"/>
    <w:rsid w:val="0061545F"/>
    <w:rsid w:val="006154B0"/>
    <w:rsid w:val="00615742"/>
    <w:rsid w:val="00616842"/>
    <w:rsid w:val="00616B7B"/>
    <w:rsid w:val="00617951"/>
    <w:rsid w:val="006202F0"/>
    <w:rsid w:val="00621086"/>
    <w:rsid w:val="00621E9F"/>
    <w:rsid w:val="0062243F"/>
    <w:rsid w:val="00623FE9"/>
    <w:rsid w:val="006242E7"/>
    <w:rsid w:val="006256C1"/>
    <w:rsid w:val="0062784D"/>
    <w:rsid w:val="00630CBC"/>
    <w:rsid w:val="00630E66"/>
    <w:rsid w:val="00632CF3"/>
    <w:rsid w:val="00632DDA"/>
    <w:rsid w:val="00635DA7"/>
    <w:rsid w:val="006368E2"/>
    <w:rsid w:val="00640A98"/>
    <w:rsid w:val="00640AE9"/>
    <w:rsid w:val="0064104C"/>
    <w:rsid w:val="0064242D"/>
    <w:rsid w:val="006435EA"/>
    <w:rsid w:val="00643833"/>
    <w:rsid w:val="006445B0"/>
    <w:rsid w:val="006458BC"/>
    <w:rsid w:val="00652CA7"/>
    <w:rsid w:val="006549D8"/>
    <w:rsid w:val="00655EF5"/>
    <w:rsid w:val="00656074"/>
    <w:rsid w:val="00660D91"/>
    <w:rsid w:val="00664736"/>
    <w:rsid w:val="00667F1D"/>
    <w:rsid w:val="00675FCB"/>
    <w:rsid w:val="00676863"/>
    <w:rsid w:val="00684995"/>
    <w:rsid w:val="00685B49"/>
    <w:rsid w:val="0068663A"/>
    <w:rsid w:val="00687BF0"/>
    <w:rsid w:val="0069045C"/>
    <w:rsid w:val="00696193"/>
    <w:rsid w:val="00696B92"/>
    <w:rsid w:val="006971C3"/>
    <w:rsid w:val="00697B14"/>
    <w:rsid w:val="006A3756"/>
    <w:rsid w:val="006A7817"/>
    <w:rsid w:val="006B017B"/>
    <w:rsid w:val="006B04FD"/>
    <w:rsid w:val="006B4CE8"/>
    <w:rsid w:val="006B58D7"/>
    <w:rsid w:val="006B7096"/>
    <w:rsid w:val="006B7FD7"/>
    <w:rsid w:val="006C1689"/>
    <w:rsid w:val="006C1932"/>
    <w:rsid w:val="006C2654"/>
    <w:rsid w:val="006D00EF"/>
    <w:rsid w:val="006D1577"/>
    <w:rsid w:val="006D159F"/>
    <w:rsid w:val="006D318B"/>
    <w:rsid w:val="006D4CBB"/>
    <w:rsid w:val="006D4F5F"/>
    <w:rsid w:val="006E22FB"/>
    <w:rsid w:val="006E3CE9"/>
    <w:rsid w:val="006E61CA"/>
    <w:rsid w:val="006F4FA1"/>
    <w:rsid w:val="006F57F9"/>
    <w:rsid w:val="006F7EA4"/>
    <w:rsid w:val="00701357"/>
    <w:rsid w:val="007036E8"/>
    <w:rsid w:val="00706374"/>
    <w:rsid w:val="00710321"/>
    <w:rsid w:val="00710353"/>
    <w:rsid w:val="00711B4D"/>
    <w:rsid w:val="00720E81"/>
    <w:rsid w:val="00722FF8"/>
    <w:rsid w:val="00723267"/>
    <w:rsid w:val="0072365F"/>
    <w:rsid w:val="007275E6"/>
    <w:rsid w:val="00727A3A"/>
    <w:rsid w:val="00732385"/>
    <w:rsid w:val="00734BC3"/>
    <w:rsid w:val="007363AE"/>
    <w:rsid w:val="00741514"/>
    <w:rsid w:val="0074412C"/>
    <w:rsid w:val="007449C3"/>
    <w:rsid w:val="00744BA4"/>
    <w:rsid w:val="00745E8B"/>
    <w:rsid w:val="00750911"/>
    <w:rsid w:val="007535A6"/>
    <w:rsid w:val="00753656"/>
    <w:rsid w:val="00754904"/>
    <w:rsid w:val="0075536B"/>
    <w:rsid w:val="007617B0"/>
    <w:rsid w:val="00761E21"/>
    <w:rsid w:val="007638F6"/>
    <w:rsid w:val="007647AC"/>
    <w:rsid w:val="00765294"/>
    <w:rsid w:val="0076672B"/>
    <w:rsid w:val="00770A87"/>
    <w:rsid w:val="007744C6"/>
    <w:rsid w:val="00777C34"/>
    <w:rsid w:val="00780442"/>
    <w:rsid w:val="007847B7"/>
    <w:rsid w:val="007857A9"/>
    <w:rsid w:val="00787226"/>
    <w:rsid w:val="007874FC"/>
    <w:rsid w:val="007910BD"/>
    <w:rsid w:val="00792096"/>
    <w:rsid w:val="00792210"/>
    <w:rsid w:val="00793334"/>
    <w:rsid w:val="00793E56"/>
    <w:rsid w:val="00794DE2"/>
    <w:rsid w:val="007957E0"/>
    <w:rsid w:val="00797BB8"/>
    <w:rsid w:val="007A0688"/>
    <w:rsid w:val="007A39D7"/>
    <w:rsid w:val="007A4B54"/>
    <w:rsid w:val="007A5A66"/>
    <w:rsid w:val="007A5B68"/>
    <w:rsid w:val="007A6BCA"/>
    <w:rsid w:val="007A71A1"/>
    <w:rsid w:val="007B0635"/>
    <w:rsid w:val="007B1EA4"/>
    <w:rsid w:val="007B2D89"/>
    <w:rsid w:val="007C3ADD"/>
    <w:rsid w:val="007C4DA0"/>
    <w:rsid w:val="007C5C77"/>
    <w:rsid w:val="007D0238"/>
    <w:rsid w:val="007D0743"/>
    <w:rsid w:val="007D1550"/>
    <w:rsid w:val="007D22D3"/>
    <w:rsid w:val="007D46ED"/>
    <w:rsid w:val="007D5D1E"/>
    <w:rsid w:val="007D7271"/>
    <w:rsid w:val="007E0C6E"/>
    <w:rsid w:val="007E30A5"/>
    <w:rsid w:val="007E557D"/>
    <w:rsid w:val="007E6019"/>
    <w:rsid w:val="007F09DE"/>
    <w:rsid w:val="007F425E"/>
    <w:rsid w:val="007F43C5"/>
    <w:rsid w:val="00802CD9"/>
    <w:rsid w:val="008058B9"/>
    <w:rsid w:val="00805FA1"/>
    <w:rsid w:val="00806397"/>
    <w:rsid w:val="008071FF"/>
    <w:rsid w:val="00807777"/>
    <w:rsid w:val="00810AE2"/>
    <w:rsid w:val="0081329A"/>
    <w:rsid w:val="008149C8"/>
    <w:rsid w:val="008178AB"/>
    <w:rsid w:val="008179B9"/>
    <w:rsid w:val="008202BE"/>
    <w:rsid w:val="00822C15"/>
    <w:rsid w:val="00823EBA"/>
    <w:rsid w:val="0082451D"/>
    <w:rsid w:val="0082464A"/>
    <w:rsid w:val="00826033"/>
    <w:rsid w:val="008269DF"/>
    <w:rsid w:val="0083217B"/>
    <w:rsid w:val="00833D00"/>
    <w:rsid w:val="0083402C"/>
    <w:rsid w:val="00835EB0"/>
    <w:rsid w:val="008376F0"/>
    <w:rsid w:val="008423D8"/>
    <w:rsid w:val="00844A15"/>
    <w:rsid w:val="00846BF6"/>
    <w:rsid w:val="00847A17"/>
    <w:rsid w:val="00853E88"/>
    <w:rsid w:val="008552E0"/>
    <w:rsid w:val="00855EB7"/>
    <w:rsid w:val="008576D8"/>
    <w:rsid w:val="00857CC5"/>
    <w:rsid w:val="00864727"/>
    <w:rsid w:val="00864F88"/>
    <w:rsid w:val="00865799"/>
    <w:rsid w:val="00865D5E"/>
    <w:rsid w:val="00871971"/>
    <w:rsid w:val="00872703"/>
    <w:rsid w:val="0087474B"/>
    <w:rsid w:val="008747F3"/>
    <w:rsid w:val="008755A2"/>
    <w:rsid w:val="00876140"/>
    <w:rsid w:val="00877393"/>
    <w:rsid w:val="008777E7"/>
    <w:rsid w:val="0088102A"/>
    <w:rsid w:val="00881871"/>
    <w:rsid w:val="00882522"/>
    <w:rsid w:val="00883B30"/>
    <w:rsid w:val="00884004"/>
    <w:rsid w:val="0088461E"/>
    <w:rsid w:val="00885C1E"/>
    <w:rsid w:val="00887B16"/>
    <w:rsid w:val="00891B5A"/>
    <w:rsid w:val="00891E07"/>
    <w:rsid w:val="00892219"/>
    <w:rsid w:val="00893405"/>
    <w:rsid w:val="00894DE4"/>
    <w:rsid w:val="008A1546"/>
    <w:rsid w:val="008A23CF"/>
    <w:rsid w:val="008A2656"/>
    <w:rsid w:val="008A3329"/>
    <w:rsid w:val="008A5390"/>
    <w:rsid w:val="008A65D0"/>
    <w:rsid w:val="008A745E"/>
    <w:rsid w:val="008B1CF4"/>
    <w:rsid w:val="008B57E7"/>
    <w:rsid w:val="008C7025"/>
    <w:rsid w:val="008C7E8D"/>
    <w:rsid w:val="008D42A4"/>
    <w:rsid w:val="008D572A"/>
    <w:rsid w:val="008D627D"/>
    <w:rsid w:val="008D69EE"/>
    <w:rsid w:val="008D712E"/>
    <w:rsid w:val="008E0857"/>
    <w:rsid w:val="008E398A"/>
    <w:rsid w:val="008E3F4A"/>
    <w:rsid w:val="008F0286"/>
    <w:rsid w:val="008F7D72"/>
    <w:rsid w:val="00906154"/>
    <w:rsid w:val="009106EB"/>
    <w:rsid w:val="00913E94"/>
    <w:rsid w:val="00914989"/>
    <w:rsid w:val="00916ABD"/>
    <w:rsid w:val="009214FC"/>
    <w:rsid w:val="00921B6A"/>
    <w:rsid w:val="00930F0D"/>
    <w:rsid w:val="0093168F"/>
    <w:rsid w:val="00932281"/>
    <w:rsid w:val="00934924"/>
    <w:rsid w:val="00934B53"/>
    <w:rsid w:val="009350B4"/>
    <w:rsid w:val="009376BB"/>
    <w:rsid w:val="009415CA"/>
    <w:rsid w:val="009443C4"/>
    <w:rsid w:val="009447FE"/>
    <w:rsid w:val="00945152"/>
    <w:rsid w:val="009451ED"/>
    <w:rsid w:val="00945546"/>
    <w:rsid w:val="00946E85"/>
    <w:rsid w:val="00947154"/>
    <w:rsid w:val="009516CD"/>
    <w:rsid w:val="00953FD8"/>
    <w:rsid w:val="00954990"/>
    <w:rsid w:val="00955707"/>
    <w:rsid w:val="00957422"/>
    <w:rsid w:val="00957796"/>
    <w:rsid w:val="009612F0"/>
    <w:rsid w:val="00961CD8"/>
    <w:rsid w:val="00963168"/>
    <w:rsid w:val="00964599"/>
    <w:rsid w:val="009664D8"/>
    <w:rsid w:val="00973A69"/>
    <w:rsid w:val="00975642"/>
    <w:rsid w:val="00977D28"/>
    <w:rsid w:val="00982F54"/>
    <w:rsid w:val="00983DA8"/>
    <w:rsid w:val="009852D4"/>
    <w:rsid w:val="0099298B"/>
    <w:rsid w:val="00994078"/>
    <w:rsid w:val="00995954"/>
    <w:rsid w:val="009A2316"/>
    <w:rsid w:val="009A4F3D"/>
    <w:rsid w:val="009B016C"/>
    <w:rsid w:val="009B7C47"/>
    <w:rsid w:val="009C1B33"/>
    <w:rsid w:val="009C20D3"/>
    <w:rsid w:val="009C2815"/>
    <w:rsid w:val="009C5930"/>
    <w:rsid w:val="009C656B"/>
    <w:rsid w:val="009C6D38"/>
    <w:rsid w:val="009D1125"/>
    <w:rsid w:val="009D1B65"/>
    <w:rsid w:val="009D3008"/>
    <w:rsid w:val="009D6D78"/>
    <w:rsid w:val="009D6F58"/>
    <w:rsid w:val="009D725D"/>
    <w:rsid w:val="009D7584"/>
    <w:rsid w:val="009E0495"/>
    <w:rsid w:val="009E1F31"/>
    <w:rsid w:val="009E215F"/>
    <w:rsid w:val="009E2C1E"/>
    <w:rsid w:val="009E7A0B"/>
    <w:rsid w:val="009F2357"/>
    <w:rsid w:val="009F2C26"/>
    <w:rsid w:val="009F31FC"/>
    <w:rsid w:val="009F43EB"/>
    <w:rsid w:val="009F45C5"/>
    <w:rsid w:val="009F6232"/>
    <w:rsid w:val="00A0078C"/>
    <w:rsid w:val="00A01E86"/>
    <w:rsid w:val="00A02809"/>
    <w:rsid w:val="00A201EA"/>
    <w:rsid w:val="00A20C0B"/>
    <w:rsid w:val="00A21FAE"/>
    <w:rsid w:val="00A22517"/>
    <w:rsid w:val="00A231E2"/>
    <w:rsid w:val="00A25251"/>
    <w:rsid w:val="00A26D1D"/>
    <w:rsid w:val="00A26D48"/>
    <w:rsid w:val="00A26DC4"/>
    <w:rsid w:val="00A30691"/>
    <w:rsid w:val="00A31149"/>
    <w:rsid w:val="00A312FF"/>
    <w:rsid w:val="00A32467"/>
    <w:rsid w:val="00A35F09"/>
    <w:rsid w:val="00A366F0"/>
    <w:rsid w:val="00A367F4"/>
    <w:rsid w:val="00A36B31"/>
    <w:rsid w:val="00A36DDE"/>
    <w:rsid w:val="00A37F69"/>
    <w:rsid w:val="00A403ED"/>
    <w:rsid w:val="00A40FD4"/>
    <w:rsid w:val="00A42484"/>
    <w:rsid w:val="00A430A9"/>
    <w:rsid w:val="00A43D48"/>
    <w:rsid w:val="00A456D2"/>
    <w:rsid w:val="00A47B6A"/>
    <w:rsid w:val="00A55F46"/>
    <w:rsid w:val="00A56362"/>
    <w:rsid w:val="00A6184A"/>
    <w:rsid w:val="00A7501F"/>
    <w:rsid w:val="00A751BB"/>
    <w:rsid w:val="00A75759"/>
    <w:rsid w:val="00A75DC2"/>
    <w:rsid w:val="00A76620"/>
    <w:rsid w:val="00A869EF"/>
    <w:rsid w:val="00A9488C"/>
    <w:rsid w:val="00A9763A"/>
    <w:rsid w:val="00AA0EF3"/>
    <w:rsid w:val="00AA1855"/>
    <w:rsid w:val="00AA68CC"/>
    <w:rsid w:val="00AA70B9"/>
    <w:rsid w:val="00AB0E2F"/>
    <w:rsid w:val="00AB2B40"/>
    <w:rsid w:val="00AB7849"/>
    <w:rsid w:val="00AC119B"/>
    <w:rsid w:val="00AC5109"/>
    <w:rsid w:val="00AC63F7"/>
    <w:rsid w:val="00AD071A"/>
    <w:rsid w:val="00AD4BA5"/>
    <w:rsid w:val="00AD6329"/>
    <w:rsid w:val="00AE3286"/>
    <w:rsid w:val="00AE42AE"/>
    <w:rsid w:val="00AE47B6"/>
    <w:rsid w:val="00AE5446"/>
    <w:rsid w:val="00AE5A4E"/>
    <w:rsid w:val="00AF220A"/>
    <w:rsid w:val="00AF2805"/>
    <w:rsid w:val="00AF645B"/>
    <w:rsid w:val="00AF670D"/>
    <w:rsid w:val="00AF7B20"/>
    <w:rsid w:val="00B01911"/>
    <w:rsid w:val="00B027DD"/>
    <w:rsid w:val="00B07EAE"/>
    <w:rsid w:val="00B10032"/>
    <w:rsid w:val="00B10682"/>
    <w:rsid w:val="00B15A20"/>
    <w:rsid w:val="00B15CFE"/>
    <w:rsid w:val="00B20344"/>
    <w:rsid w:val="00B208B5"/>
    <w:rsid w:val="00B2284D"/>
    <w:rsid w:val="00B42E09"/>
    <w:rsid w:val="00B44036"/>
    <w:rsid w:val="00B45526"/>
    <w:rsid w:val="00B46724"/>
    <w:rsid w:val="00B505B2"/>
    <w:rsid w:val="00B63E6F"/>
    <w:rsid w:val="00B6446A"/>
    <w:rsid w:val="00B660CB"/>
    <w:rsid w:val="00B6650F"/>
    <w:rsid w:val="00B67D0C"/>
    <w:rsid w:val="00B71158"/>
    <w:rsid w:val="00B72A2D"/>
    <w:rsid w:val="00B73513"/>
    <w:rsid w:val="00B745CD"/>
    <w:rsid w:val="00B75560"/>
    <w:rsid w:val="00B8338D"/>
    <w:rsid w:val="00B84FAD"/>
    <w:rsid w:val="00B85267"/>
    <w:rsid w:val="00B85D2A"/>
    <w:rsid w:val="00B8667E"/>
    <w:rsid w:val="00B9420A"/>
    <w:rsid w:val="00B94DD8"/>
    <w:rsid w:val="00BA3035"/>
    <w:rsid w:val="00BA5735"/>
    <w:rsid w:val="00BA756D"/>
    <w:rsid w:val="00BB5949"/>
    <w:rsid w:val="00BC39FC"/>
    <w:rsid w:val="00BC4F52"/>
    <w:rsid w:val="00BC5EA5"/>
    <w:rsid w:val="00BD1809"/>
    <w:rsid w:val="00BD1B7B"/>
    <w:rsid w:val="00BD7CFE"/>
    <w:rsid w:val="00BE0A96"/>
    <w:rsid w:val="00BE61BC"/>
    <w:rsid w:val="00BE7CFD"/>
    <w:rsid w:val="00BF4397"/>
    <w:rsid w:val="00BF5203"/>
    <w:rsid w:val="00BF626D"/>
    <w:rsid w:val="00C00EDF"/>
    <w:rsid w:val="00C01BB0"/>
    <w:rsid w:val="00C1020F"/>
    <w:rsid w:val="00C12619"/>
    <w:rsid w:val="00C1409B"/>
    <w:rsid w:val="00C1480A"/>
    <w:rsid w:val="00C17F58"/>
    <w:rsid w:val="00C20E55"/>
    <w:rsid w:val="00C245D6"/>
    <w:rsid w:val="00C26BE7"/>
    <w:rsid w:val="00C2785E"/>
    <w:rsid w:val="00C3023E"/>
    <w:rsid w:val="00C3166A"/>
    <w:rsid w:val="00C32190"/>
    <w:rsid w:val="00C3498D"/>
    <w:rsid w:val="00C36B1E"/>
    <w:rsid w:val="00C42C6E"/>
    <w:rsid w:val="00C4562E"/>
    <w:rsid w:val="00C50374"/>
    <w:rsid w:val="00C5058D"/>
    <w:rsid w:val="00C54A59"/>
    <w:rsid w:val="00C54C5A"/>
    <w:rsid w:val="00C55A0B"/>
    <w:rsid w:val="00C55FB4"/>
    <w:rsid w:val="00C56A8E"/>
    <w:rsid w:val="00C607E9"/>
    <w:rsid w:val="00C67CB5"/>
    <w:rsid w:val="00C744AE"/>
    <w:rsid w:val="00C762FF"/>
    <w:rsid w:val="00C830BF"/>
    <w:rsid w:val="00C84109"/>
    <w:rsid w:val="00C86340"/>
    <w:rsid w:val="00C87854"/>
    <w:rsid w:val="00C87BA4"/>
    <w:rsid w:val="00C90F42"/>
    <w:rsid w:val="00C92128"/>
    <w:rsid w:val="00C9352D"/>
    <w:rsid w:val="00C95AB3"/>
    <w:rsid w:val="00CA132C"/>
    <w:rsid w:val="00CA1A98"/>
    <w:rsid w:val="00CA2C49"/>
    <w:rsid w:val="00CA3BC6"/>
    <w:rsid w:val="00CA6502"/>
    <w:rsid w:val="00CA75C6"/>
    <w:rsid w:val="00CB0215"/>
    <w:rsid w:val="00CB2C5F"/>
    <w:rsid w:val="00CB2EA8"/>
    <w:rsid w:val="00CB4225"/>
    <w:rsid w:val="00CB5E84"/>
    <w:rsid w:val="00CB7A09"/>
    <w:rsid w:val="00CC24E2"/>
    <w:rsid w:val="00CC35E1"/>
    <w:rsid w:val="00CC37E0"/>
    <w:rsid w:val="00CC3E75"/>
    <w:rsid w:val="00CC4E0F"/>
    <w:rsid w:val="00CD043F"/>
    <w:rsid w:val="00CD0D8B"/>
    <w:rsid w:val="00CD3DF9"/>
    <w:rsid w:val="00CD5865"/>
    <w:rsid w:val="00CD61A4"/>
    <w:rsid w:val="00CE0EE6"/>
    <w:rsid w:val="00CE13A6"/>
    <w:rsid w:val="00CE1595"/>
    <w:rsid w:val="00CE37AC"/>
    <w:rsid w:val="00CE55AD"/>
    <w:rsid w:val="00CE5C2F"/>
    <w:rsid w:val="00CE657F"/>
    <w:rsid w:val="00CE6703"/>
    <w:rsid w:val="00CF5340"/>
    <w:rsid w:val="00CF69B8"/>
    <w:rsid w:val="00CF6CD2"/>
    <w:rsid w:val="00D00569"/>
    <w:rsid w:val="00D006DE"/>
    <w:rsid w:val="00D03793"/>
    <w:rsid w:val="00D055A3"/>
    <w:rsid w:val="00D10A75"/>
    <w:rsid w:val="00D12C32"/>
    <w:rsid w:val="00D12C43"/>
    <w:rsid w:val="00D14277"/>
    <w:rsid w:val="00D160F1"/>
    <w:rsid w:val="00D212A2"/>
    <w:rsid w:val="00D228B0"/>
    <w:rsid w:val="00D24DC2"/>
    <w:rsid w:val="00D30355"/>
    <w:rsid w:val="00D31106"/>
    <w:rsid w:val="00D31B94"/>
    <w:rsid w:val="00D32704"/>
    <w:rsid w:val="00D333B7"/>
    <w:rsid w:val="00D34633"/>
    <w:rsid w:val="00D348A7"/>
    <w:rsid w:val="00D42870"/>
    <w:rsid w:val="00D43B7B"/>
    <w:rsid w:val="00D4543A"/>
    <w:rsid w:val="00D46A18"/>
    <w:rsid w:val="00D51999"/>
    <w:rsid w:val="00D51F91"/>
    <w:rsid w:val="00D54FD0"/>
    <w:rsid w:val="00D613F3"/>
    <w:rsid w:val="00D62A63"/>
    <w:rsid w:val="00D6630F"/>
    <w:rsid w:val="00D66D50"/>
    <w:rsid w:val="00D70EE7"/>
    <w:rsid w:val="00D76159"/>
    <w:rsid w:val="00D77103"/>
    <w:rsid w:val="00D77A18"/>
    <w:rsid w:val="00D80023"/>
    <w:rsid w:val="00D8555B"/>
    <w:rsid w:val="00D85C9F"/>
    <w:rsid w:val="00D86AAC"/>
    <w:rsid w:val="00D870F1"/>
    <w:rsid w:val="00D8752C"/>
    <w:rsid w:val="00D914FD"/>
    <w:rsid w:val="00D920DE"/>
    <w:rsid w:val="00D93004"/>
    <w:rsid w:val="00D9339B"/>
    <w:rsid w:val="00D93A68"/>
    <w:rsid w:val="00D97221"/>
    <w:rsid w:val="00DA04F7"/>
    <w:rsid w:val="00DA147D"/>
    <w:rsid w:val="00DA1525"/>
    <w:rsid w:val="00DA44F2"/>
    <w:rsid w:val="00DA75F5"/>
    <w:rsid w:val="00DB1452"/>
    <w:rsid w:val="00DB5110"/>
    <w:rsid w:val="00DB70B3"/>
    <w:rsid w:val="00DC19D2"/>
    <w:rsid w:val="00DC1F17"/>
    <w:rsid w:val="00DC23FF"/>
    <w:rsid w:val="00DC55BD"/>
    <w:rsid w:val="00DD5A14"/>
    <w:rsid w:val="00DE1D32"/>
    <w:rsid w:val="00DE7308"/>
    <w:rsid w:val="00DF0F8B"/>
    <w:rsid w:val="00E00A7B"/>
    <w:rsid w:val="00E00E56"/>
    <w:rsid w:val="00E01231"/>
    <w:rsid w:val="00E03D08"/>
    <w:rsid w:val="00E0419D"/>
    <w:rsid w:val="00E0722D"/>
    <w:rsid w:val="00E124FE"/>
    <w:rsid w:val="00E12F0A"/>
    <w:rsid w:val="00E14120"/>
    <w:rsid w:val="00E1517F"/>
    <w:rsid w:val="00E21DB4"/>
    <w:rsid w:val="00E25A17"/>
    <w:rsid w:val="00E31652"/>
    <w:rsid w:val="00E32D5A"/>
    <w:rsid w:val="00E345CD"/>
    <w:rsid w:val="00E40761"/>
    <w:rsid w:val="00E41D64"/>
    <w:rsid w:val="00E43F09"/>
    <w:rsid w:val="00E4710D"/>
    <w:rsid w:val="00E471C2"/>
    <w:rsid w:val="00E47419"/>
    <w:rsid w:val="00E545C7"/>
    <w:rsid w:val="00E54C5F"/>
    <w:rsid w:val="00E62A2F"/>
    <w:rsid w:val="00E63179"/>
    <w:rsid w:val="00E648DC"/>
    <w:rsid w:val="00E7016E"/>
    <w:rsid w:val="00E701CE"/>
    <w:rsid w:val="00E820CA"/>
    <w:rsid w:val="00E87F8F"/>
    <w:rsid w:val="00E91518"/>
    <w:rsid w:val="00E9191E"/>
    <w:rsid w:val="00E92CC0"/>
    <w:rsid w:val="00E95BB1"/>
    <w:rsid w:val="00E95BE7"/>
    <w:rsid w:val="00E9706E"/>
    <w:rsid w:val="00E974A2"/>
    <w:rsid w:val="00EA362A"/>
    <w:rsid w:val="00EA403D"/>
    <w:rsid w:val="00EA51F2"/>
    <w:rsid w:val="00EA6F80"/>
    <w:rsid w:val="00EB01D4"/>
    <w:rsid w:val="00EB1357"/>
    <w:rsid w:val="00EB30A2"/>
    <w:rsid w:val="00EB4B28"/>
    <w:rsid w:val="00EB5CDB"/>
    <w:rsid w:val="00EC118C"/>
    <w:rsid w:val="00EC1A1A"/>
    <w:rsid w:val="00EC6226"/>
    <w:rsid w:val="00EC65E5"/>
    <w:rsid w:val="00ED24CD"/>
    <w:rsid w:val="00ED3622"/>
    <w:rsid w:val="00ED5EDB"/>
    <w:rsid w:val="00EE2922"/>
    <w:rsid w:val="00EE5BEB"/>
    <w:rsid w:val="00EF0E35"/>
    <w:rsid w:val="00EF4ADD"/>
    <w:rsid w:val="00EF5610"/>
    <w:rsid w:val="00EF5D9E"/>
    <w:rsid w:val="00F043C8"/>
    <w:rsid w:val="00F04A48"/>
    <w:rsid w:val="00F11448"/>
    <w:rsid w:val="00F13A79"/>
    <w:rsid w:val="00F150E0"/>
    <w:rsid w:val="00F157C8"/>
    <w:rsid w:val="00F21011"/>
    <w:rsid w:val="00F223FE"/>
    <w:rsid w:val="00F23D6B"/>
    <w:rsid w:val="00F2747D"/>
    <w:rsid w:val="00F337DB"/>
    <w:rsid w:val="00F45545"/>
    <w:rsid w:val="00F514B9"/>
    <w:rsid w:val="00F54906"/>
    <w:rsid w:val="00F57ADD"/>
    <w:rsid w:val="00F72917"/>
    <w:rsid w:val="00F72B1E"/>
    <w:rsid w:val="00F74A41"/>
    <w:rsid w:val="00F76588"/>
    <w:rsid w:val="00F7671B"/>
    <w:rsid w:val="00F771B0"/>
    <w:rsid w:val="00F8279D"/>
    <w:rsid w:val="00F90086"/>
    <w:rsid w:val="00F9132C"/>
    <w:rsid w:val="00F91F31"/>
    <w:rsid w:val="00F926AF"/>
    <w:rsid w:val="00F94F4A"/>
    <w:rsid w:val="00F9582E"/>
    <w:rsid w:val="00F965C3"/>
    <w:rsid w:val="00FA260E"/>
    <w:rsid w:val="00FA36CC"/>
    <w:rsid w:val="00FA3803"/>
    <w:rsid w:val="00FA3CFC"/>
    <w:rsid w:val="00FA43B9"/>
    <w:rsid w:val="00FA5F3A"/>
    <w:rsid w:val="00FA6D48"/>
    <w:rsid w:val="00FA7A19"/>
    <w:rsid w:val="00FB1252"/>
    <w:rsid w:val="00FB18BD"/>
    <w:rsid w:val="00FB34F4"/>
    <w:rsid w:val="00FB35A7"/>
    <w:rsid w:val="00FB37F7"/>
    <w:rsid w:val="00FB47B1"/>
    <w:rsid w:val="00FB71E4"/>
    <w:rsid w:val="00FC15F9"/>
    <w:rsid w:val="00FC24C0"/>
    <w:rsid w:val="00FC7366"/>
    <w:rsid w:val="00FD1DA5"/>
    <w:rsid w:val="00FD27A1"/>
    <w:rsid w:val="00FD55EB"/>
    <w:rsid w:val="00FE1335"/>
    <w:rsid w:val="00FE1CBF"/>
    <w:rsid w:val="00FE20CC"/>
    <w:rsid w:val="00FE2924"/>
    <w:rsid w:val="00FE5D25"/>
    <w:rsid w:val="00FE5F0D"/>
    <w:rsid w:val="00FF0C11"/>
    <w:rsid w:val="00FF1D76"/>
    <w:rsid w:val="00FF2615"/>
    <w:rsid w:val="00FF2DD2"/>
    <w:rsid w:val="00FF4B33"/>
    <w:rsid w:val="00FF51EA"/>
    <w:rsid w:val="00FF5345"/>
    <w:rsid w:val="4FB052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25F1A"/>
  <w15:docId w15:val="{142D3ADC-DC05-484B-AE4B-E3066B4C3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4"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99"/>
    <w:lsdException w:name="Plain Table 2" w:uiPriority="99"/>
    <w:lsdException w:name="Plain Table 3" w:uiPriority="99"/>
    <w:lsdException w:name="Plain Table 4" w:uiPriority="99"/>
    <w:lsdException w:name="Plain Table 5" w:uiPriority="99"/>
    <w:lsdException w:name="Grid Table Light" w:uiPriority="99"/>
    <w:lsdException w:name="Grid Table 1 Light" w:uiPriority="99"/>
    <w:lsdException w:name="Grid Table 2" w:uiPriority="99"/>
    <w:lsdException w:name="Grid Table 3" w:uiPriority="99"/>
    <w:lsdException w:name="Grid Table 4" w:uiPriority="99"/>
    <w:lsdException w:name="Grid Table 5 Dark" w:uiPriority="99"/>
    <w:lsdException w:name="Grid Table 6 Colorful" w:uiPriority="99"/>
    <w:lsdException w:name="Grid Table 7 Colorful" w:uiPriority="99"/>
    <w:lsdException w:name="Grid Table 1 Light Accent 1" w:uiPriority="99"/>
    <w:lsdException w:name="Grid Table 2 Accent 1" w:uiPriority="99"/>
    <w:lsdException w:name="Grid Table 3 Accent 1" w:uiPriority="99"/>
    <w:lsdException w:name="Grid Table 4 Accent 1" w:uiPriority="99"/>
    <w:lsdException w:name="Grid Table 5 Dark Accent 1" w:uiPriority="99"/>
    <w:lsdException w:name="Grid Table 6 Colorful Accent 1" w:uiPriority="99"/>
    <w:lsdException w:name="Grid Table 7 Colorful Accent 1" w:uiPriority="99"/>
    <w:lsdException w:name="Grid Table 1 Light Accent 2" w:uiPriority="99"/>
    <w:lsdException w:name="Grid Table 2 Accent 2" w:uiPriority="99"/>
    <w:lsdException w:name="Grid Table 3 Accent 2" w:uiPriority="99"/>
    <w:lsdException w:name="Grid Table 4 Accent 2" w:uiPriority="99"/>
    <w:lsdException w:name="Grid Table 5 Dark Accent 2" w:uiPriority="99"/>
    <w:lsdException w:name="Grid Table 6 Colorful Accent 2" w:uiPriority="99"/>
    <w:lsdException w:name="Grid Table 7 Colorful Accent 2" w:uiPriority="99"/>
    <w:lsdException w:name="Grid Table 1 Light Accent 3" w:uiPriority="99"/>
    <w:lsdException w:name="Grid Table 2 Accent 3" w:uiPriority="99"/>
    <w:lsdException w:name="Grid Table 3 Accent 3" w:uiPriority="99"/>
    <w:lsdException w:name="Grid Table 4 Accent 3" w:uiPriority="99"/>
    <w:lsdException w:name="Grid Table 5 Dark Accent 3" w:uiPriority="99"/>
    <w:lsdException w:name="Grid Table 6 Colorful Accent 3" w:uiPriority="99"/>
    <w:lsdException w:name="Grid Table 7 Colorful Accent 3" w:uiPriority="99"/>
    <w:lsdException w:name="Grid Table 1 Light Accent 4" w:uiPriority="99"/>
    <w:lsdException w:name="Grid Table 2 Accent 4" w:uiPriority="99"/>
    <w:lsdException w:name="Grid Table 3 Accent 4" w:uiPriority="99"/>
    <w:lsdException w:name="Grid Table 4 Accent 4" w:uiPriority="99"/>
    <w:lsdException w:name="Grid Table 5 Dark Accent 4" w:uiPriority="99"/>
    <w:lsdException w:name="Grid Table 6 Colorful Accent 4" w:uiPriority="99"/>
    <w:lsdException w:name="Grid Table 7 Colorful Accent 4" w:uiPriority="99"/>
    <w:lsdException w:name="Grid Table 1 Light Accent 5" w:uiPriority="99"/>
    <w:lsdException w:name="Grid Table 2 Accent 5" w:uiPriority="99"/>
    <w:lsdException w:name="Grid Table 3 Accent 5" w:uiPriority="99"/>
    <w:lsdException w:name="Grid Table 4 Accent 5" w:uiPriority="99"/>
    <w:lsdException w:name="Grid Table 5 Dark Accent 5" w:uiPriority="99"/>
    <w:lsdException w:name="Grid Table 6 Colorful Accent 5" w:uiPriority="99"/>
    <w:lsdException w:name="Grid Table 7 Colorful Accent 5" w:uiPriority="99"/>
    <w:lsdException w:name="Grid Table 1 Light Accent 6" w:uiPriority="99"/>
    <w:lsdException w:name="Grid Table 2 Accent 6" w:uiPriority="99"/>
    <w:lsdException w:name="Grid Table 3 Accent 6" w:uiPriority="99"/>
    <w:lsdException w:name="Grid Table 4 Accent 6" w:uiPriority="99"/>
    <w:lsdException w:name="Grid Table 5 Dark Accent 6" w:uiPriority="99"/>
    <w:lsdException w:name="Grid Table 6 Colorful Accent 6" w:uiPriority="99"/>
    <w:lsdException w:name="Grid Table 7 Colorful Accent 6" w:uiPriority="99"/>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99"/>
    <w:lsdException w:name="List Table 2 Accent 1" w:uiPriority="99"/>
    <w:lsdException w:name="List Table 3 Accent 1" w:uiPriority="99"/>
    <w:lsdException w:name="List Table 4 Accent 1" w:uiPriority="99"/>
    <w:lsdException w:name="List Table 5 Dark Accent 1" w:uiPriority="99"/>
    <w:lsdException w:name="List Table 6 Colorful Accent 1" w:uiPriority="99"/>
    <w:lsdException w:name="List Table 7 Colorful Accent 1" w:uiPriority="99"/>
    <w:lsdException w:name="List Table 1 Light Accent 2" w:uiPriority="99"/>
    <w:lsdException w:name="List Table 2 Accent 2" w:uiPriority="99"/>
    <w:lsdException w:name="List Table 3 Accent 2" w:uiPriority="99"/>
    <w:lsdException w:name="List Table 4 Accent 2" w:uiPriority="99"/>
    <w:lsdException w:name="List Table 5 Dark Accent 2" w:uiPriority="99"/>
    <w:lsdException w:name="List Table 6 Colorful Accent 2" w:uiPriority="99"/>
    <w:lsdException w:name="List Table 7 Colorful Accent 2" w:uiPriority="99"/>
    <w:lsdException w:name="List Table 1 Light Accent 3" w:uiPriority="99"/>
    <w:lsdException w:name="List Table 2 Accent 3" w:uiPriority="99"/>
    <w:lsdException w:name="List Table 3 Accent 3" w:uiPriority="99"/>
    <w:lsdException w:name="List Table 4 Accent 3" w:uiPriority="99"/>
    <w:lsdException w:name="List Table 5 Dark Accent 3" w:uiPriority="99"/>
    <w:lsdException w:name="List Table 6 Colorful Accent 3" w:uiPriority="99"/>
    <w:lsdException w:name="List Table 7 Colorful Accent 3" w:uiPriority="99"/>
    <w:lsdException w:name="List Table 1 Light Accent 4" w:uiPriority="99"/>
    <w:lsdException w:name="List Table 2 Accent 4" w:uiPriority="99"/>
    <w:lsdException w:name="List Table 3 Accent 4" w:uiPriority="99"/>
    <w:lsdException w:name="List Table 4 Accent 4" w:uiPriority="99"/>
    <w:lsdException w:name="List Table 5 Dark Accent 4" w:uiPriority="99"/>
    <w:lsdException w:name="List Table 6 Colorful Accent 4" w:uiPriority="99"/>
    <w:lsdException w:name="List Table 7 Colorful Accent 4" w:uiPriority="99"/>
    <w:lsdException w:name="List Table 1 Light Accent 5" w:uiPriority="99"/>
    <w:lsdException w:name="List Table 2 Accent 5" w:uiPriority="99"/>
    <w:lsdException w:name="List Table 3 Accent 5" w:uiPriority="99"/>
    <w:lsdException w:name="List Table 4 Accent 5" w:uiPriority="99"/>
    <w:lsdException w:name="List Table 5 Dark Accent 5" w:uiPriority="99"/>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99"/>
    <w:lsdException w:name="List Table 4 Accent 6" w:uiPriority="99"/>
    <w:lsdException w:name="List Table 5 Dark Accent 6" w:uiPriority="99"/>
    <w:lsdException w:name="List Table 6 Colorful Accent 6" w:uiPriority="99"/>
    <w:lsdException w:name="List Table 7 Colorful Accent 6" w:uiPriority="99"/>
    <w:lsdException w:name="Mention" w:uiPriority="99"/>
    <w:lsdException w:name="Smart Hyperlink" w:uiPriority="99"/>
    <w:lsdException w:name="Hashtag" w:uiPriority="99"/>
    <w:lsdException w:name="Unresolved Mention" w:uiPriority="99"/>
    <w:lsdException w:name="Smart Link" w:uiPriority="99"/>
  </w:latentStyles>
  <w:style w:type="paragraph" w:default="1" w:styleId="Normal">
    <w:name w:val="Normal"/>
    <w:qFormat/>
    <w:rsid w:val="007C5C77"/>
    <w:pPr>
      <w:spacing w:after="160" w:line="259" w:lineRule="auto"/>
    </w:pPr>
    <w:rPr>
      <w:rFonts w:eastAsiaTheme="minorHAnsi"/>
      <w:kern w:val="2"/>
      <w:lang w:eastAsia="en-US"/>
      <w14:ligatures w14:val="standardContextual"/>
    </w:rPr>
  </w:style>
  <w:style w:type="paragraph" w:styleId="Heading1">
    <w:name w:val="heading 1"/>
    <w:basedOn w:val="Normal"/>
    <w:next w:val="Normal"/>
    <w:link w:val="Heading1Char"/>
    <w:qFormat/>
    <w:rsid w:val="0052640A"/>
    <w:pPr>
      <w:keepNext/>
      <w:numPr>
        <w:numId w:val="41"/>
      </w:numPr>
      <w:outlineLvl w:val="0"/>
    </w:pPr>
    <w:rPr>
      <w:b/>
    </w:rPr>
  </w:style>
  <w:style w:type="paragraph" w:styleId="Heading2">
    <w:name w:val="heading 2"/>
    <w:basedOn w:val="Normal"/>
    <w:next w:val="Normal"/>
    <w:link w:val="Heading2Char"/>
    <w:qFormat/>
    <w:rsid w:val="0052640A"/>
    <w:pPr>
      <w:keepNext/>
      <w:numPr>
        <w:ilvl w:val="1"/>
        <w:numId w:val="41"/>
      </w:numPr>
      <w:outlineLvl w:val="1"/>
    </w:pPr>
    <w:rPr>
      <w:b/>
    </w:rPr>
  </w:style>
  <w:style w:type="paragraph" w:styleId="Heading3">
    <w:name w:val="heading 3"/>
    <w:basedOn w:val="Normal"/>
    <w:next w:val="Normal"/>
    <w:link w:val="Heading3Char"/>
    <w:qFormat/>
    <w:rsid w:val="0052640A"/>
    <w:pPr>
      <w:keepNext/>
      <w:numPr>
        <w:ilvl w:val="2"/>
        <w:numId w:val="41"/>
      </w:numPr>
      <w:outlineLvl w:val="2"/>
    </w:pPr>
  </w:style>
  <w:style w:type="paragraph" w:styleId="Heading4">
    <w:name w:val="heading 4"/>
    <w:basedOn w:val="Normal"/>
    <w:next w:val="Normal"/>
    <w:link w:val="Heading4Char"/>
    <w:qFormat/>
    <w:rsid w:val="0052640A"/>
    <w:pPr>
      <w:numPr>
        <w:ilvl w:val="3"/>
        <w:numId w:val="41"/>
      </w:numPr>
      <w:outlineLvl w:val="3"/>
    </w:pPr>
  </w:style>
  <w:style w:type="paragraph" w:styleId="Heading5">
    <w:name w:val="heading 5"/>
    <w:basedOn w:val="Normal"/>
    <w:link w:val="Heading5Char"/>
    <w:qFormat/>
    <w:rsid w:val="0052640A"/>
    <w:pPr>
      <w:numPr>
        <w:ilvl w:val="4"/>
        <w:numId w:val="41"/>
      </w:numPr>
      <w:tabs>
        <w:tab w:val="num" w:pos="360"/>
      </w:tabs>
      <w:outlineLvl w:val="4"/>
    </w:pPr>
  </w:style>
  <w:style w:type="paragraph" w:styleId="Heading6">
    <w:name w:val="heading 6"/>
    <w:basedOn w:val="Normal"/>
    <w:next w:val="Normal"/>
    <w:link w:val="Heading6Char"/>
    <w:autoRedefine/>
    <w:qFormat/>
    <w:rsid w:val="0052640A"/>
    <w:pPr>
      <w:keepNext/>
      <w:numPr>
        <w:ilvl w:val="5"/>
        <w:numId w:val="41"/>
      </w:numPr>
      <w:tabs>
        <w:tab w:val="num" w:pos="360"/>
      </w:tabs>
      <w:outlineLvl w:val="5"/>
    </w:pPr>
    <w:rPr>
      <w:color w:val="000000"/>
    </w:rPr>
  </w:style>
  <w:style w:type="paragraph" w:styleId="Heading7">
    <w:name w:val="heading 7"/>
    <w:basedOn w:val="Normal"/>
    <w:next w:val="Normal"/>
    <w:link w:val="Heading7Char"/>
    <w:qFormat/>
    <w:rsid w:val="0052640A"/>
    <w:pPr>
      <w:keepNext/>
      <w:numPr>
        <w:ilvl w:val="6"/>
        <w:numId w:val="41"/>
      </w:numPr>
      <w:tabs>
        <w:tab w:val="num" w:pos="360"/>
      </w:tabs>
      <w:outlineLvl w:val="6"/>
    </w:pPr>
    <w:rPr>
      <w:b/>
      <w:color w:val="000000"/>
    </w:rPr>
  </w:style>
  <w:style w:type="paragraph" w:styleId="Heading8">
    <w:name w:val="heading 8"/>
    <w:basedOn w:val="Normal"/>
    <w:next w:val="Normal"/>
    <w:link w:val="Heading8Char"/>
    <w:autoRedefine/>
    <w:qFormat/>
    <w:rsid w:val="0052640A"/>
    <w:pPr>
      <w:keepNext/>
      <w:pageBreakBefore/>
      <w:numPr>
        <w:ilvl w:val="7"/>
        <w:numId w:val="41"/>
      </w:numPr>
      <w:tabs>
        <w:tab w:val="num" w:pos="360"/>
      </w:tabs>
      <w:outlineLvl w:val="7"/>
    </w:pPr>
    <w:rPr>
      <w:b/>
      <w:szCs w:val="28"/>
    </w:rPr>
  </w:style>
  <w:style w:type="paragraph" w:styleId="Heading9">
    <w:name w:val="heading 9"/>
    <w:basedOn w:val="Normal"/>
    <w:link w:val="Heading9Char"/>
    <w:qFormat/>
    <w:rsid w:val="0052640A"/>
    <w:pPr>
      <w:numPr>
        <w:ilvl w:val="8"/>
        <w:numId w:val="41"/>
      </w:numPr>
      <w:tabs>
        <w:tab w:val="num" w:pos="360"/>
        <w:tab w:val="left" w:pos="2880"/>
        <w:tab w:val="left" w:pos="3600"/>
        <w:tab w:val="left" w:pos="4320"/>
        <w:tab w:val="left" w:pos="5040"/>
        <w:tab w:val="left" w:pos="5760"/>
        <w:tab w:val="left" w:pos="6480"/>
        <w:tab w:val="left" w:pos="7200"/>
        <w:tab w:val="left" w:pos="7920"/>
        <w:tab w:val="left" w:pos="8640"/>
        <w:tab w:val="left" w:pos="9360"/>
        <w:tab w:val="left" w:pos="10080"/>
      </w:tabs>
      <w:outlineLvl w:val="8"/>
    </w:pPr>
    <w:rPr>
      <w:b/>
      <w:color w:val="000000"/>
      <w:sz w:val="28"/>
    </w:rPr>
  </w:style>
  <w:style w:type="character" w:default="1" w:styleId="DefaultParagraphFont">
    <w:name w:val="Default Paragraph Font"/>
    <w:uiPriority w:val="1"/>
    <w:unhideWhenUsed/>
    <w:rsid w:val="007C5C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5C77"/>
  </w:style>
  <w:style w:type="paragraph" w:customStyle="1" w:styleId="Abstract">
    <w:name w:val="Abstract"/>
    <w:link w:val="AbstractChar"/>
    <w:rsid w:val="007656EA"/>
    <w:pPr>
      <w:spacing w:after="120" w:line="240" w:lineRule="auto"/>
    </w:pPr>
    <w:rPr>
      <w:rFonts w:ascii="Arial" w:eastAsia="Arial Unicode MS" w:hAnsi="Arial" w:cs="Arial"/>
      <w:color w:val="000000"/>
      <w:sz w:val="24"/>
      <w:szCs w:val="24"/>
      <w:lang w:val="en-US" w:eastAsia="en-US"/>
    </w:rPr>
  </w:style>
  <w:style w:type="character" w:customStyle="1" w:styleId="AbstractChar">
    <w:name w:val="Abstract Char"/>
    <w:link w:val="Abstract"/>
    <w:rsid w:val="007656EA"/>
    <w:rPr>
      <w:rFonts w:ascii="Arial" w:eastAsia="Arial Unicode MS" w:hAnsi="Arial" w:cs="Arial"/>
      <w:color w:val="000000"/>
      <w:sz w:val="24"/>
      <w:szCs w:val="24"/>
      <w:lang w:val="en-US" w:eastAsia="en-US"/>
    </w:rPr>
  </w:style>
  <w:style w:type="paragraph" w:customStyle="1" w:styleId="Annex">
    <w:name w:val="Annex"/>
    <w:basedOn w:val="Paragraph"/>
    <w:next w:val="Paragraph"/>
    <w:qFormat/>
    <w:rsid w:val="007656EA"/>
    <w:pPr>
      <w:numPr>
        <w:numId w:val="8"/>
      </w:numPr>
      <w:spacing w:before="240" w:after="240"/>
      <w:ind w:left="0" w:firstLine="0"/>
    </w:pPr>
    <w:rPr>
      <w:b/>
    </w:rPr>
  </w:style>
  <w:style w:type="paragraph" w:customStyle="1" w:styleId="AuthoringGroup">
    <w:name w:val="Authoring Group"/>
    <w:link w:val="AuthoringGroupChar"/>
    <w:rsid w:val="007656EA"/>
    <w:pPr>
      <w:spacing w:after="120" w:line="240" w:lineRule="auto"/>
    </w:pPr>
    <w:rPr>
      <w:rFonts w:ascii="Arial" w:eastAsia="Arial Unicode MS" w:hAnsi="Arial" w:cs="Arial"/>
      <w:color w:val="000000"/>
      <w:sz w:val="24"/>
      <w:lang w:val="en-US" w:eastAsia="en-US"/>
    </w:rPr>
  </w:style>
  <w:style w:type="character" w:customStyle="1" w:styleId="AuthoringGroupChar">
    <w:name w:val="Authoring Group Char"/>
    <w:link w:val="AuthoringGroup"/>
    <w:rsid w:val="007656EA"/>
    <w:rPr>
      <w:rFonts w:ascii="Arial" w:eastAsia="Arial Unicode MS" w:hAnsi="Arial" w:cs="Arial"/>
      <w:color w:val="000000"/>
      <w:sz w:val="24"/>
      <w:lang w:val="en-US" w:eastAsia="en-US"/>
    </w:rPr>
  </w:style>
  <w:style w:type="paragraph" w:customStyle="1" w:styleId="Background">
    <w:name w:val="Background"/>
    <w:aliases w:val="(A) Background"/>
    <w:basedOn w:val="Normal"/>
    <w:rsid w:val="007656EA"/>
    <w:pPr>
      <w:numPr>
        <w:numId w:val="1"/>
      </w:numPr>
      <w:spacing w:before="120" w:line="300" w:lineRule="atLeast"/>
      <w:jc w:val="both"/>
    </w:pPr>
    <w:rPr>
      <w:rFonts w:eastAsia="Arial Unicode MS" w:cs="Arial"/>
      <w:color w:val="000000"/>
    </w:rPr>
  </w:style>
  <w:style w:type="paragraph" w:customStyle="1" w:styleId="BulletList1">
    <w:name w:val="Bullet List 1"/>
    <w:aliases w:val="Bullet1"/>
    <w:basedOn w:val="Normal"/>
    <w:rsid w:val="007656EA"/>
    <w:pPr>
      <w:numPr>
        <w:numId w:val="2"/>
      </w:numPr>
      <w:spacing w:after="240" w:line="300" w:lineRule="atLeast"/>
      <w:jc w:val="both"/>
    </w:pPr>
    <w:rPr>
      <w:rFonts w:eastAsia="Arial Unicode MS" w:cs="Arial"/>
      <w:color w:val="000000"/>
    </w:rPr>
  </w:style>
  <w:style w:type="paragraph" w:customStyle="1" w:styleId="BulletList2">
    <w:name w:val="Bullet List 2"/>
    <w:aliases w:val="Bullet2"/>
    <w:basedOn w:val="Normal"/>
    <w:rsid w:val="0052640A"/>
    <w:pPr>
      <w:numPr>
        <w:ilvl w:val="1"/>
        <w:numId w:val="27"/>
      </w:numPr>
    </w:pPr>
  </w:style>
  <w:style w:type="paragraph" w:customStyle="1" w:styleId="BulletList3">
    <w:name w:val="Bullet List 3"/>
    <w:aliases w:val="Bullet3"/>
    <w:basedOn w:val="Normal"/>
    <w:rsid w:val="0052640A"/>
    <w:pPr>
      <w:tabs>
        <w:tab w:val="num" w:pos="720"/>
      </w:tabs>
      <w:ind w:left="720" w:hanging="360"/>
    </w:pPr>
  </w:style>
  <w:style w:type="paragraph" w:customStyle="1" w:styleId="TitleClause">
    <w:name w:val="Title Clause"/>
    <w:basedOn w:val="Normal"/>
    <w:rsid w:val="007656EA"/>
    <w:pPr>
      <w:keepNext/>
      <w:spacing w:before="240" w:after="240" w:line="300" w:lineRule="atLeast"/>
      <w:jc w:val="both"/>
      <w:outlineLvl w:val="0"/>
    </w:pPr>
    <w:rPr>
      <w:rFonts w:eastAsia="Arial Unicode MS" w:cs="Arial"/>
      <w:b/>
      <w:color w:val="000000"/>
      <w:kern w:val="28"/>
    </w:rPr>
  </w:style>
  <w:style w:type="paragraph" w:customStyle="1" w:styleId="ClauseNoTitle">
    <w:name w:val="Clause No Title"/>
    <w:basedOn w:val="TitleClause"/>
    <w:rsid w:val="007656EA"/>
    <w:rPr>
      <w:b w:val="0"/>
      <w:smallCaps/>
    </w:rPr>
  </w:style>
  <w:style w:type="paragraph" w:customStyle="1" w:styleId="ClosingPara">
    <w:name w:val="Closing Para"/>
    <w:basedOn w:val="Normal"/>
    <w:rsid w:val="007656EA"/>
    <w:pPr>
      <w:spacing w:before="120" w:after="240" w:line="300" w:lineRule="atLeast"/>
      <w:jc w:val="both"/>
    </w:pPr>
    <w:rPr>
      <w:rFonts w:eastAsia="Arial Unicode MS" w:cs="Arial"/>
      <w:color w:val="000000"/>
    </w:rPr>
  </w:style>
  <w:style w:type="paragraph" w:customStyle="1" w:styleId="ClosingSignOff">
    <w:name w:val="Closing SignOff"/>
    <w:basedOn w:val="Normal"/>
    <w:rsid w:val="007656EA"/>
    <w:pPr>
      <w:spacing w:line="300" w:lineRule="atLeast"/>
      <w:jc w:val="both"/>
    </w:pPr>
    <w:rPr>
      <w:rFonts w:eastAsia="Arial Unicode MS" w:cs="Arial"/>
      <w:color w:val="000000"/>
    </w:rPr>
  </w:style>
  <w:style w:type="paragraph" w:customStyle="1" w:styleId="CoversheetTitle">
    <w:name w:val="Coversheet Title"/>
    <w:basedOn w:val="Normal"/>
    <w:autoRedefine/>
    <w:rsid w:val="007656EA"/>
    <w:pPr>
      <w:spacing w:before="480" w:after="480" w:line="300" w:lineRule="atLeast"/>
      <w:jc w:val="center"/>
    </w:pPr>
    <w:rPr>
      <w:rFonts w:eastAsia="Arial Unicode MS" w:cs="Arial"/>
      <w:b/>
      <w:smallCaps/>
      <w:color w:val="000000"/>
      <w:sz w:val="28"/>
    </w:rPr>
  </w:style>
  <w:style w:type="paragraph" w:customStyle="1" w:styleId="CoverSheetHeading">
    <w:name w:val="Cover Sheet Heading"/>
    <w:aliases w:val="Coversheet Title2"/>
    <w:basedOn w:val="CoversheetTitle"/>
    <w:rsid w:val="007656EA"/>
  </w:style>
  <w:style w:type="paragraph" w:customStyle="1" w:styleId="CoverSheetSubjectText">
    <w:name w:val="Cover Sheet Subject Text"/>
    <w:basedOn w:val="Normal"/>
    <w:rsid w:val="007656EA"/>
    <w:pPr>
      <w:spacing w:after="0" w:line="300" w:lineRule="atLeast"/>
      <w:jc w:val="center"/>
    </w:pPr>
    <w:rPr>
      <w:rFonts w:eastAsia="Arial Unicode MS" w:cs="Arial"/>
      <w:color w:val="000000"/>
    </w:rPr>
  </w:style>
  <w:style w:type="paragraph" w:customStyle="1" w:styleId="CoverSheetSubjectTitle">
    <w:name w:val="Cover Sheet Subject Title"/>
    <w:basedOn w:val="Normal"/>
    <w:rsid w:val="007656EA"/>
    <w:pPr>
      <w:spacing w:after="0" w:line="300" w:lineRule="atLeast"/>
      <w:jc w:val="center"/>
    </w:pPr>
    <w:rPr>
      <w:rFonts w:eastAsia="Arial Unicode MS" w:cs="Arial"/>
      <w:color w:val="000000"/>
    </w:rPr>
  </w:style>
  <w:style w:type="paragraph" w:customStyle="1" w:styleId="DefinedTermPara">
    <w:name w:val="Defined Term Para"/>
    <w:basedOn w:val="Paragraph"/>
    <w:qFormat/>
    <w:rsid w:val="007656EA"/>
    <w:pPr>
      <w:numPr>
        <w:numId w:val="21"/>
      </w:numPr>
    </w:pPr>
  </w:style>
  <w:style w:type="paragraph" w:customStyle="1" w:styleId="DescriptiveHeading">
    <w:name w:val="DescriptiveHeading"/>
    <w:next w:val="Paragraph"/>
    <w:link w:val="DescriptiveHeadingChar"/>
    <w:rsid w:val="007656EA"/>
    <w:pPr>
      <w:spacing w:before="360" w:after="360" w:line="240" w:lineRule="auto"/>
      <w:outlineLvl w:val="0"/>
    </w:pPr>
    <w:rPr>
      <w:rFonts w:ascii="Arial" w:eastAsia="Arial Unicode MS" w:hAnsi="Arial" w:cs="Arial"/>
      <w:b/>
      <w:color w:val="000000"/>
      <w:lang w:val="en-US" w:eastAsia="en-US"/>
    </w:rPr>
  </w:style>
  <w:style w:type="character" w:customStyle="1" w:styleId="DescriptiveHeadingChar">
    <w:name w:val="DescriptiveHeading Char"/>
    <w:link w:val="DescriptiveHeading"/>
    <w:rsid w:val="007656EA"/>
    <w:rPr>
      <w:rFonts w:ascii="Arial" w:eastAsia="Arial Unicode MS" w:hAnsi="Arial" w:cs="Arial"/>
      <w:b/>
      <w:color w:val="000000"/>
      <w:lang w:val="en-US" w:eastAsia="en-US"/>
    </w:rPr>
  </w:style>
  <w:style w:type="paragraph" w:customStyle="1" w:styleId="DraftingnoteSection1Para">
    <w:name w:val="Draftingnote Section1 Para"/>
    <w:basedOn w:val="Normal"/>
    <w:rsid w:val="007656EA"/>
    <w:pPr>
      <w:spacing w:line="300" w:lineRule="atLeast"/>
      <w:jc w:val="both"/>
    </w:pPr>
    <w:rPr>
      <w:rFonts w:eastAsia="Arial Unicode MS" w:cs="Arial"/>
      <w:color w:val="000000"/>
    </w:rPr>
  </w:style>
  <w:style w:type="paragraph" w:customStyle="1" w:styleId="DraftingnoteSection1Title">
    <w:name w:val="Draftingnote Section1 Title"/>
    <w:basedOn w:val="Normal"/>
    <w:rsid w:val="007656EA"/>
    <w:pPr>
      <w:spacing w:line="300" w:lineRule="atLeast"/>
      <w:jc w:val="both"/>
    </w:pPr>
    <w:rPr>
      <w:rFonts w:eastAsia="Arial Unicode MS" w:cs="Arial"/>
      <w:b/>
      <w:color w:val="000000"/>
      <w:sz w:val="36"/>
    </w:rPr>
  </w:style>
  <w:style w:type="paragraph" w:customStyle="1" w:styleId="DraftingnoteSection2Para">
    <w:name w:val="Draftingnote Section2 Para"/>
    <w:basedOn w:val="Normal"/>
    <w:rsid w:val="007656EA"/>
    <w:pPr>
      <w:spacing w:line="300" w:lineRule="atLeast"/>
      <w:jc w:val="both"/>
    </w:pPr>
    <w:rPr>
      <w:rFonts w:eastAsia="Arial Unicode MS" w:cs="Arial"/>
      <w:color w:val="000000"/>
    </w:rPr>
  </w:style>
  <w:style w:type="paragraph" w:customStyle="1" w:styleId="DraftingnoteSection2Title">
    <w:name w:val="Draftingnote Section2 Title"/>
    <w:basedOn w:val="Normal"/>
    <w:rsid w:val="007656EA"/>
    <w:pPr>
      <w:spacing w:line="300" w:lineRule="atLeast"/>
      <w:jc w:val="both"/>
    </w:pPr>
    <w:rPr>
      <w:rFonts w:eastAsia="Arial Unicode MS" w:cs="Arial"/>
      <w:b/>
      <w:color w:val="000000"/>
      <w:sz w:val="28"/>
    </w:rPr>
  </w:style>
  <w:style w:type="paragraph" w:customStyle="1" w:styleId="DraftingnoteSection3Para">
    <w:name w:val="Draftingnote Section3 Para"/>
    <w:basedOn w:val="Normal"/>
    <w:rsid w:val="007656EA"/>
    <w:pPr>
      <w:spacing w:line="300" w:lineRule="atLeast"/>
      <w:jc w:val="both"/>
    </w:pPr>
    <w:rPr>
      <w:rFonts w:eastAsia="Arial Unicode MS" w:cs="Arial"/>
      <w:color w:val="000000"/>
    </w:rPr>
  </w:style>
  <w:style w:type="paragraph" w:customStyle="1" w:styleId="DraftingnoteSection3Title">
    <w:name w:val="Draftingnote Section3 Title"/>
    <w:basedOn w:val="Normal"/>
    <w:rsid w:val="007656EA"/>
    <w:pPr>
      <w:spacing w:line="300" w:lineRule="atLeast"/>
      <w:jc w:val="both"/>
    </w:pPr>
    <w:rPr>
      <w:rFonts w:eastAsia="Arial Unicode MS" w:cs="Arial"/>
      <w:b/>
      <w:i/>
      <w:color w:val="000000"/>
      <w:sz w:val="28"/>
    </w:rPr>
  </w:style>
  <w:style w:type="paragraph" w:customStyle="1" w:styleId="DraftingnoteSection4Para">
    <w:name w:val="Draftingnote Section4 Para"/>
    <w:basedOn w:val="Normal"/>
    <w:rsid w:val="007656EA"/>
    <w:pPr>
      <w:spacing w:line="300" w:lineRule="atLeast"/>
      <w:jc w:val="both"/>
    </w:pPr>
    <w:rPr>
      <w:rFonts w:eastAsia="Arial Unicode MS" w:cs="Arial"/>
      <w:color w:val="000000"/>
    </w:rPr>
  </w:style>
  <w:style w:type="paragraph" w:customStyle="1" w:styleId="DraftingnoteSection4Title">
    <w:name w:val="Draftingnote Section4 Title"/>
    <w:basedOn w:val="Normal"/>
    <w:rsid w:val="007656EA"/>
    <w:pPr>
      <w:spacing w:line="300" w:lineRule="atLeast"/>
      <w:jc w:val="both"/>
    </w:pPr>
    <w:rPr>
      <w:rFonts w:eastAsia="Arial Unicode MS" w:cs="Arial"/>
      <w:b/>
      <w:i/>
      <w:color w:val="000000"/>
      <w:sz w:val="28"/>
    </w:rPr>
  </w:style>
  <w:style w:type="paragraph" w:customStyle="1" w:styleId="DraftingnoteTitle">
    <w:name w:val="Draftingnote Title"/>
    <w:basedOn w:val="Normal"/>
    <w:rsid w:val="007656EA"/>
    <w:pPr>
      <w:spacing w:line="300" w:lineRule="atLeast"/>
      <w:jc w:val="both"/>
    </w:pPr>
    <w:rPr>
      <w:rFonts w:eastAsia="Arial Unicode MS" w:cs="Arial"/>
      <w:b/>
      <w:color w:val="000000"/>
      <w:sz w:val="28"/>
    </w:rPr>
  </w:style>
  <w:style w:type="paragraph" w:customStyle="1" w:styleId="FulltextBridgehead">
    <w:name w:val="Fulltext Bridgehead"/>
    <w:basedOn w:val="Normal"/>
    <w:rsid w:val="007656EA"/>
    <w:pPr>
      <w:spacing w:line="300" w:lineRule="atLeast"/>
      <w:jc w:val="both"/>
    </w:pPr>
    <w:rPr>
      <w:rFonts w:eastAsia="Arial Unicode MS" w:cs="Arial"/>
      <w:b/>
      <w:color w:val="000000"/>
      <w:sz w:val="48"/>
    </w:rPr>
  </w:style>
  <w:style w:type="paragraph" w:customStyle="1" w:styleId="FulltextSection1Para">
    <w:name w:val="Fulltext Section1 Para"/>
    <w:basedOn w:val="Normal"/>
    <w:rsid w:val="007656EA"/>
    <w:pPr>
      <w:spacing w:line="300" w:lineRule="atLeast"/>
      <w:jc w:val="both"/>
    </w:pPr>
    <w:rPr>
      <w:rFonts w:eastAsia="Arial Unicode MS" w:cs="Arial"/>
      <w:color w:val="000000"/>
    </w:rPr>
  </w:style>
  <w:style w:type="paragraph" w:customStyle="1" w:styleId="FulltextSection1Title">
    <w:name w:val="Fulltext Section1 Title"/>
    <w:basedOn w:val="Normal"/>
    <w:rsid w:val="007656EA"/>
    <w:pPr>
      <w:spacing w:line="300" w:lineRule="atLeast"/>
      <w:jc w:val="both"/>
    </w:pPr>
    <w:rPr>
      <w:rFonts w:eastAsia="Arial Unicode MS" w:cs="Arial"/>
      <w:b/>
      <w:color w:val="000000"/>
      <w:sz w:val="36"/>
    </w:rPr>
  </w:style>
  <w:style w:type="paragraph" w:customStyle="1" w:styleId="FulltextSection2Para">
    <w:name w:val="Fulltext Section2 Para"/>
    <w:basedOn w:val="Normal"/>
    <w:rsid w:val="007656EA"/>
    <w:pPr>
      <w:spacing w:line="300" w:lineRule="atLeast"/>
      <w:jc w:val="both"/>
    </w:pPr>
    <w:rPr>
      <w:rFonts w:eastAsia="Arial Unicode MS" w:cs="Arial"/>
      <w:color w:val="000000"/>
    </w:rPr>
  </w:style>
  <w:style w:type="paragraph" w:customStyle="1" w:styleId="FulltextSection2Title">
    <w:name w:val="Fulltext Section2 Title"/>
    <w:basedOn w:val="Normal"/>
    <w:rsid w:val="007656EA"/>
    <w:pPr>
      <w:spacing w:line="300" w:lineRule="atLeast"/>
      <w:jc w:val="both"/>
    </w:pPr>
    <w:rPr>
      <w:rFonts w:eastAsia="Arial Unicode MS" w:cs="Arial"/>
      <w:b/>
      <w:color w:val="000000"/>
      <w:sz w:val="28"/>
    </w:rPr>
  </w:style>
  <w:style w:type="paragraph" w:customStyle="1" w:styleId="FulltextSection3Para">
    <w:name w:val="Fulltext Section3 Para"/>
    <w:basedOn w:val="Normal"/>
    <w:rsid w:val="007656EA"/>
    <w:pPr>
      <w:spacing w:line="300" w:lineRule="atLeast"/>
      <w:jc w:val="both"/>
    </w:pPr>
    <w:rPr>
      <w:rFonts w:eastAsia="Arial Unicode MS" w:cs="Arial"/>
      <w:color w:val="000000"/>
    </w:rPr>
  </w:style>
  <w:style w:type="paragraph" w:customStyle="1" w:styleId="FulltextSection3Title">
    <w:name w:val="Fulltext Section3 Title"/>
    <w:basedOn w:val="Normal"/>
    <w:rsid w:val="007656EA"/>
    <w:pPr>
      <w:spacing w:line="300" w:lineRule="atLeast"/>
      <w:jc w:val="both"/>
    </w:pPr>
    <w:rPr>
      <w:rFonts w:eastAsia="Arial Unicode MS" w:cs="Arial"/>
      <w:b/>
      <w:i/>
      <w:color w:val="000000"/>
      <w:sz w:val="28"/>
    </w:rPr>
  </w:style>
  <w:style w:type="paragraph" w:customStyle="1" w:styleId="FulltextSection4Para">
    <w:name w:val="Fulltext Section4 Para"/>
    <w:basedOn w:val="Normal"/>
    <w:rsid w:val="007656EA"/>
    <w:pPr>
      <w:spacing w:line="300" w:lineRule="atLeast"/>
      <w:jc w:val="both"/>
    </w:pPr>
    <w:rPr>
      <w:rFonts w:eastAsia="Arial Unicode MS" w:cs="Arial"/>
      <w:color w:val="000000"/>
    </w:rPr>
  </w:style>
  <w:style w:type="paragraph" w:customStyle="1" w:styleId="FulltextSection4Title">
    <w:name w:val="Fulltext Section4 Title"/>
    <w:basedOn w:val="Normal"/>
    <w:rsid w:val="007656EA"/>
    <w:pPr>
      <w:spacing w:line="300" w:lineRule="atLeast"/>
      <w:jc w:val="both"/>
    </w:pPr>
    <w:rPr>
      <w:rFonts w:eastAsia="Arial Unicode MS" w:cs="Arial"/>
      <w:b/>
      <w:i/>
      <w:color w:val="000000"/>
      <w:sz w:val="28"/>
    </w:rPr>
  </w:style>
  <w:style w:type="paragraph" w:customStyle="1" w:styleId="GlossItemGlossdefPara">
    <w:name w:val="GlossItem Glossdef Para"/>
    <w:basedOn w:val="Normal"/>
    <w:rsid w:val="007656EA"/>
    <w:pPr>
      <w:spacing w:line="300" w:lineRule="atLeast"/>
      <w:jc w:val="both"/>
    </w:pPr>
    <w:rPr>
      <w:rFonts w:eastAsia="Arial Unicode MS" w:cs="Arial"/>
      <w:color w:val="000000"/>
    </w:rPr>
  </w:style>
  <w:style w:type="paragraph" w:customStyle="1" w:styleId="GlossItemGlossterm">
    <w:name w:val="GlossItem Glossterm"/>
    <w:basedOn w:val="Normal"/>
    <w:rsid w:val="007656EA"/>
    <w:pPr>
      <w:spacing w:line="300" w:lineRule="atLeast"/>
      <w:jc w:val="both"/>
    </w:pPr>
    <w:rPr>
      <w:rFonts w:eastAsia="Arial Unicode MS" w:cs="Arial"/>
      <w:b/>
      <w:color w:val="000000"/>
      <w:sz w:val="48"/>
    </w:rPr>
  </w:style>
  <w:style w:type="paragraph" w:customStyle="1" w:styleId="HeadingAddressLine">
    <w:name w:val="Heading Address Line"/>
    <w:basedOn w:val="Normal"/>
    <w:rsid w:val="007656EA"/>
    <w:pPr>
      <w:spacing w:line="300" w:lineRule="atLeast"/>
      <w:jc w:val="both"/>
    </w:pPr>
    <w:rPr>
      <w:rFonts w:eastAsia="Arial Unicode MS" w:cs="Arial"/>
      <w:color w:val="000000"/>
    </w:rPr>
  </w:style>
  <w:style w:type="paragraph" w:customStyle="1" w:styleId="HeadingDate">
    <w:name w:val="Heading Date"/>
    <w:basedOn w:val="Normal"/>
    <w:rsid w:val="007656EA"/>
    <w:pPr>
      <w:spacing w:line="300" w:lineRule="atLeast"/>
      <w:jc w:val="both"/>
    </w:pPr>
    <w:rPr>
      <w:rFonts w:eastAsia="Arial Unicode MS" w:cs="Arial"/>
      <w:color w:val="000000"/>
    </w:rPr>
  </w:style>
  <w:style w:type="paragraph" w:customStyle="1" w:styleId="HeadingLetterheadBasedOnAttribute">
    <w:name w:val="Heading Letterhead Based On Attribute"/>
    <w:basedOn w:val="Normal"/>
    <w:rsid w:val="007656EA"/>
    <w:pPr>
      <w:spacing w:line="300" w:lineRule="atLeast"/>
      <w:jc w:val="both"/>
    </w:pPr>
    <w:rPr>
      <w:rFonts w:eastAsia="Arial Unicode MS" w:cs="Arial"/>
      <w:color w:val="000000"/>
    </w:rPr>
  </w:style>
  <w:style w:type="paragraph" w:customStyle="1" w:styleId="HeadingSalutation">
    <w:name w:val="Heading Salutation"/>
    <w:basedOn w:val="Normal"/>
    <w:rsid w:val="007656EA"/>
    <w:pPr>
      <w:spacing w:line="300" w:lineRule="atLeast"/>
      <w:jc w:val="both"/>
    </w:pPr>
    <w:rPr>
      <w:rFonts w:eastAsia="Arial Unicode MS" w:cs="Arial"/>
      <w:color w:val="000000"/>
    </w:rPr>
  </w:style>
  <w:style w:type="paragraph" w:customStyle="1" w:styleId="IgnoredSpacing">
    <w:name w:val="Ignored Spacing"/>
    <w:link w:val="IgnoredSpacingChar"/>
    <w:rsid w:val="007656EA"/>
    <w:pPr>
      <w:spacing w:after="120" w:line="240" w:lineRule="auto"/>
    </w:pPr>
    <w:rPr>
      <w:rFonts w:ascii="Arial" w:eastAsia="Arial Unicode MS" w:hAnsi="Arial" w:cs="Arial"/>
      <w:color w:val="000000"/>
      <w:sz w:val="24"/>
      <w:szCs w:val="24"/>
      <w:lang w:val="en-US" w:eastAsia="en-US"/>
    </w:rPr>
  </w:style>
  <w:style w:type="character" w:customStyle="1" w:styleId="IgnoredSpacingChar">
    <w:name w:val="Ignored Spacing Char"/>
    <w:link w:val="IgnoredSpacing"/>
    <w:rsid w:val="007656EA"/>
    <w:rPr>
      <w:rFonts w:ascii="Arial" w:eastAsia="Arial Unicode MS" w:hAnsi="Arial" w:cs="Arial"/>
      <w:color w:val="000000"/>
      <w:sz w:val="24"/>
      <w:szCs w:val="24"/>
      <w:lang w:val="en-US" w:eastAsia="en-US"/>
    </w:rPr>
  </w:style>
  <w:style w:type="paragraph" w:customStyle="1" w:styleId="InternalAuthor">
    <w:name w:val="Internal Author"/>
    <w:link w:val="InternalAuthorChar"/>
    <w:rsid w:val="007656EA"/>
    <w:pPr>
      <w:spacing w:after="120" w:line="240" w:lineRule="auto"/>
    </w:pPr>
    <w:rPr>
      <w:rFonts w:ascii="Arial" w:eastAsia="Arial Unicode MS" w:hAnsi="Arial" w:cs="Arial"/>
      <w:color w:val="000000"/>
      <w:sz w:val="24"/>
      <w:lang w:val="en-US" w:eastAsia="en-US"/>
    </w:rPr>
  </w:style>
  <w:style w:type="character" w:customStyle="1" w:styleId="InternalAuthorChar">
    <w:name w:val="Internal Author Char"/>
    <w:link w:val="InternalAuthor"/>
    <w:rsid w:val="007656EA"/>
    <w:rPr>
      <w:rFonts w:ascii="Arial" w:eastAsia="Arial Unicode MS" w:hAnsi="Arial" w:cs="Arial"/>
      <w:color w:val="000000"/>
      <w:sz w:val="24"/>
      <w:lang w:val="en-US" w:eastAsia="en-US"/>
    </w:rPr>
  </w:style>
  <w:style w:type="paragraph" w:customStyle="1" w:styleId="MaintenanceEditor">
    <w:name w:val="Maintenance Editor"/>
    <w:link w:val="MaintenanceEditorChar"/>
    <w:rsid w:val="007656EA"/>
    <w:pPr>
      <w:spacing w:after="120" w:line="240" w:lineRule="auto"/>
    </w:pPr>
    <w:rPr>
      <w:rFonts w:ascii="Arial" w:eastAsia="Arial Unicode MS" w:hAnsi="Arial" w:cs="Arial"/>
      <w:color w:val="000000"/>
      <w:sz w:val="24"/>
      <w:lang w:val="en-US" w:eastAsia="en-US"/>
    </w:rPr>
  </w:style>
  <w:style w:type="character" w:customStyle="1" w:styleId="MaintenanceEditorChar">
    <w:name w:val="Maintenance Editor Char"/>
    <w:link w:val="MaintenanceEditor"/>
    <w:rsid w:val="007656EA"/>
    <w:rPr>
      <w:rFonts w:ascii="Arial" w:eastAsia="Arial Unicode MS" w:hAnsi="Arial" w:cs="Arial"/>
      <w:color w:val="000000"/>
      <w:sz w:val="24"/>
      <w:lang w:val="en-US" w:eastAsia="en-US"/>
    </w:rPr>
  </w:style>
  <w:style w:type="paragraph" w:customStyle="1" w:styleId="ParaClause">
    <w:name w:val="Para Clause"/>
    <w:basedOn w:val="Normal"/>
    <w:rsid w:val="007656EA"/>
    <w:pPr>
      <w:spacing w:before="120" w:line="300" w:lineRule="atLeast"/>
      <w:ind w:left="720"/>
      <w:jc w:val="both"/>
    </w:pPr>
    <w:rPr>
      <w:rFonts w:eastAsia="Arial Unicode MS" w:cs="Arial"/>
      <w:color w:val="000000"/>
    </w:rPr>
  </w:style>
  <w:style w:type="paragraph" w:customStyle="1" w:styleId="Parasubclause1">
    <w:name w:val="Para subclause 1"/>
    <w:aliases w:val="BIWS Heading 2"/>
    <w:basedOn w:val="Normal"/>
    <w:rsid w:val="007656EA"/>
    <w:pPr>
      <w:spacing w:before="240" w:line="300" w:lineRule="atLeast"/>
      <w:ind w:left="720"/>
      <w:jc w:val="both"/>
    </w:pPr>
    <w:rPr>
      <w:rFonts w:eastAsia="Arial Unicode MS" w:cs="Arial"/>
      <w:color w:val="000000"/>
    </w:rPr>
  </w:style>
  <w:style w:type="paragraph" w:customStyle="1" w:styleId="Untitledsubclause1">
    <w:name w:val="Untitled subclause 1"/>
    <w:basedOn w:val="Normal"/>
    <w:rsid w:val="007656EA"/>
    <w:pPr>
      <w:spacing w:before="280" w:line="300" w:lineRule="atLeast"/>
      <w:jc w:val="both"/>
      <w:outlineLvl w:val="1"/>
    </w:pPr>
    <w:rPr>
      <w:rFonts w:eastAsia="Arial Unicode MS" w:cs="Arial"/>
      <w:color w:val="000000"/>
    </w:rPr>
  </w:style>
  <w:style w:type="paragraph" w:customStyle="1" w:styleId="Parasubclause2">
    <w:name w:val="Para subclause 2"/>
    <w:aliases w:val="BIWS Heading 3"/>
    <w:basedOn w:val="Normal"/>
    <w:rsid w:val="007656EA"/>
    <w:pPr>
      <w:spacing w:after="240" w:line="300" w:lineRule="atLeast"/>
      <w:ind w:left="1559"/>
      <w:jc w:val="both"/>
    </w:pPr>
    <w:rPr>
      <w:rFonts w:eastAsia="Arial Unicode MS" w:cs="Arial"/>
      <w:color w:val="000000"/>
    </w:rPr>
  </w:style>
  <w:style w:type="paragraph" w:customStyle="1" w:styleId="Untitledsubclause2">
    <w:name w:val="Untitled subclause 2"/>
    <w:basedOn w:val="Normal"/>
    <w:rsid w:val="007656EA"/>
    <w:pPr>
      <w:spacing w:line="300" w:lineRule="atLeast"/>
      <w:jc w:val="both"/>
      <w:outlineLvl w:val="2"/>
    </w:pPr>
    <w:rPr>
      <w:rFonts w:eastAsia="Arial Unicode MS" w:cs="Arial"/>
      <w:color w:val="000000"/>
    </w:rPr>
  </w:style>
  <w:style w:type="paragraph" w:customStyle="1" w:styleId="Parasubclause3">
    <w:name w:val="Para subclause 3"/>
    <w:aliases w:val="BIWS Heading 4"/>
    <w:basedOn w:val="Normal"/>
    <w:next w:val="Untitledsubclause2"/>
    <w:rsid w:val="007656EA"/>
    <w:pPr>
      <w:spacing w:line="300" w:lineRule="atLeast"/>
      <w:ind w:left="2268"/>
      <w:jc w:val="both"/>
    </w:pPr>
    <w:rPr>
      <w:rFonts w:eastAsia="Arial Unicode MS" w:cs="Arial"/>
      <w:color w:val="000000"/>
    </w:rPr>
  </w:style>
  <w:style w:type="paragraph" w:customStyle="1" w:styleId="Untitledsubclause3">
    <w:name w:val="Untitled subclause 3"/>
    <w:basedOn w:val="Normal"/>
    <w:rsid w:val="007656EA"/>
    <w:pPr>
      <w:tabs>
        <w:tab w:val="left" w:pos="2261"/>
      </w:tabs>
      <w:spacing w:line="300" w:lineRule="atLeast"/>
      <w:jc w:val="both"/>
      <w:outlineLvl w:val="3"/>
    </w:pPr>
    <w:rPr>
      <w:rFonts w:eastAsia="Arial Unicode MS" w:cs="Arial"/>
      <w:color w:val="000000"/>
    </w:rPr>
  </w:style>
  <w:style w:type="paragraph" w:customStyle="1" w:styleId="Parasubclause4">
    <w:name w:val="Para subclause 4"/>
    <w:aliases w:val="BIWS Heading 5"/>
    <w:basedOn w:val="Parasubclause3"/>
    <w:rsid w:val="007656EA"/>
    <w:pPr>
      <w:spacing w:after="240"/>
      <w:ind w:left="3028"/>
    </w:pPr>
  </w:style>
  <w:style w:type="paragraph" w:customStyle="1" w:styleId="Untitledsubclause4">
    <w:name w:val="Untitled subclause 4"/>
    <w:basedOn w:val="Normal"/>
    <w:rsid w:val="007656EA"/>
    <w:pPr>
      <w:spacing w:line="300" w:lineRule="atLeast"/>
      <w:jc w:val="both"/>
      <w:outlineLvl w:val="4"/>
    </w:pPr>
    <w:rPr>
      <w:rFonts w:eastAsia="Arial Unicode MS" w:cs="Arial"/>
      <w:color w:val="000000"/>
    </w:rPr>
  </w:style>
  <w:style w:type="paragraph" w:customStyle="1" w:styleId="Para">
    <w:name w:val="Para"/>
    <w:aliases w:val="PLC Style - Normal"/>
    <w:basedOn w:val="Normal"/>
    <w:rsid w:val="007656EA"/>
    <w:pPr>
      <w:spacing w:line="300" w:lineRule="atLeast"/>
      <w:jc w:val="both"/>
    </w:pPr>
    <w:rPr>
      <w:rFonts w:eastAsia="Arial Unicode MS" w:cs="Arial"/>
      <w:color w:val="000000"/>
    </w:rPr>
  </w:style>
  <w:style w:type="paragraph" w:customStyle="1" w:styleId="Parties">
    <w:name w:val="Parties"/>
    <w:aliases w:val="(1) Parties"/>
    <w:basedOn w:val="Normal"/>
    <w:rsid w:val="007656EA"/>
    <w:pPr>
      <w:numPr>
        <w:numId w:val="3"/>
      </w:numPr>
      <w:spacing w:before="120" w:line="300" w:lineRule="atLeast"/>
      <w:jc w:val="both"/>
    </w:pPr>
    <w:rPr>
      <w:rFonts w:eastAsia="Arial Unicode MS" w:cs="Arial"/>
      <w:color w:val="000000"/>
    </w:rPr>
  </w:style>
  <w:style w:type="paragraph" w:customStyle="1" w:styleId="ResourceHistoryAuthor">
    <w:name w:val="Resource History Author"/>
    <w:link w:val="ResourceHistoryAuthorChar"/>
    <w:rsid w:val="007656EA"/>
    <w:pPr>
      <w:spacing w:after="120" w:line="240" w:lineRule="auto"/>
    </w:pPr>
    <w:rPr>
      <w:rFonts w:ascii="Arial" w:eastAsia="Arial Unicode MS" w:hAnsi="Arial" w:cs="Arial"/>
      <w:color w:val="000000"/>
      <w:sz w:val="24"/>
      <w:szCs w:val="24"/>
      <w:lang w:val="en-US" w:eastAsia="en-US"/>
    </w:rPr>
  </w:style>
  <w:style w:type="character" w:customStyle="1" w:styleId="ResourceHistoryAuthorChar">
    <w:name w:val="Resource History Author Char"/>
    <w:link w:val="ResourceHistoryAuthor"/>
    <w:rsid w:val="007656EA"/>
    <w:rPr>
      <w:rFonts w:ascii="Arial" w:eastAsia="Arial Unicode MS" w:hAnsi="Arial" w:cs="Arial"/>
      <w:color w:val="000000"/>
      <w:sz w:val="24"/>
      <w:szCs w:val="24"/>
      <w:lang w:val="en-US" w:eastAsia="en-US"/>
    </w:rPr>
  </w:style>
  <w:style w:type="paragraph" w:customStyle="1" w:styleId="ResourceHistoryDate">
    <w:name w:val="Resource History Date"/>
    <w:link w:val="ResourceHistoryDateChar"/>
    <w:rsid w:val="007656EA"/>
    <w:pPr>
      <w:spacing w:after="120" w:line="240" w:lineRule="auto"/>
    </w:pPr>
    <w:rPr>
      <w:rFonts w:ascii="Arial" w:eastAsia="Arial Unicode MS" w:hAnsi="Arial" w:cs="Arial"/>
      <w:color w:val="000000"/>
      <w:sz w:val="24"/>
      <w:szCs w:val="24"/>
      <w:lang w:val="en-US" w:eastAsia="en-US"/>
    </w:rPr>
  </w:style>
  <w:style w:type="character" w:customStyle="1" w:styleId="ResourceHistoryDateChar">
    <w:name w:val="Resource History Date Char"/>
    <w:link w:val="ResourceHistoryDate"/>
    <w:rsid w:val="007656EA"/>
    <w:rPr>
      <w:rFonts w:ascii="Arial" w:eastAsia="Arial Unicode MS" w:hAnsi="Arial" w:cs="Arial"/>
      <w:color w:val="000000"/>
      <w:sz w:val="24"/>
      <w:szCs w:val="24"/>
      <w:lang w:val="en-US" w:eastAsia="en-US"/>
    </w:rPr>
  </w:style>
  <w:style w:type="paragraph" w:customStyle="1" w:styleId="ResourceHistoryDesc">
    <w:name w:val="Resource History Desc"/>
    <w:link w:val="ResourceHistoryDescChar"/>
    <w:rsid w:val="007656EA"/>
    <w:pPr>
      <w:spacing w:after="120" w:line="240" w:lineRule="auto"/>
    </w:pPr>
    <w:rPr>
      <w:rFonts w:ascii="Verdana" w:eastAsia="Times New Roman" w:hAnsi="Verdana" w:cs="Verdana"/>
      <w:color w:val="000000"/>
      <w:sz w:val="18"/>
      <w:szCs w:val="24"/>
      <w:lang w:val="en-US" w:eastAsia="en-US"/>
    </w:rPr>
  </w:style>
  <w:style w:type="character" w:customStyle="1" w:styleId="ResourceHistoryDescChar">
    <w:name w:val="Resource History Desc Char"/>
    <w:link w:val="ResourceHistoryDesc"/>
    <w:rsid w:val="007656EA"/>
    <w:rPr>
      <w:rFonts w:ascii="Verdana" w:eastAsia="Times New Roman" w:hAnsi="Verdana" w:cs="Verdana"/>
      <w:color w:val="000000"/>
      <w:sz w:val="18"/>
      <w:szCs w:val="24"/>
      <w:lang w:val="en-US" w:eastAsia="en-US"/>
    </w:rPr>
  </w:style>
  <w:style w:type="paragraph" w:customStyle="1" w:styleId="ResourceHistoryTitle">
    <w:name w:val="Resource History Title"/>
    <w:link w:val="ResourceHistoryTitleChar"/>
    <w:rsid w:val="007656EA"/>
    <w:pPr>
      <w:spacing w:after="120" w:line="240" w:lineRule="auto"/>
    </w:pPr>
    <w:rPr>
      <w:rFonts w:ascii="Arial" w:eastAsia="Arial Unicode MS" w:hAnsi="Arial" w:cs="Arial"/>
      <w:b/>
      <w:bCs/>
      <w:color w:val="000000"/>
      <w:sz w:val="24"/>
      <w:lang w:val="en-US" w:eastAsia="en-US"/>
    </w:rPr>
  </w:style>
  <w:style w:type="character" w:customStyle="1" w:styleId="ResourceHistoryTitleChar">
    <w:name w:val="Resource History Title Char"/>
    <w:link w:val="ResourceHistoryTitle"/>
    <w:rsid w:val="007656EA"/>
    <w:rPr>
      <w:rFonts w:ascii="Arial" w:eastAsia="Arial Unicode MS" w:hAnsi="Arial" w:cs="Arial"/>
      <w:b/>
      <w:bCs/>
      <w:color w:val="000000"/>
      <w:sz w:val="24"/>
      <w:lang w:val="en-US" w:eastAsia="en-US"/>
    </w:rPr>
  </w:style>
  <w:style w:type="paragraph" w:customStyle="1" w:styleId="ResourceType">
    <w:name w:val="Resource Type"/>
    <w:link w:val="ResourceTypeChar"/>
    <w:rsid w:val="007656EA"/>
    <w:pPr>
      <w:spacing w:after="120" w:line="240" w:lineRule="auto"/>
    </w:pPr>
    <w:rPr>
      <w:rFonts w:ascii="Arial" w:eastAsia="Arial Unicode MS" w:hAnsi="Arial" w:cs="Arial"/>
      <w:color w:val="000000"/>
      <w:sz w:val="24"/>
      <w:szCs w:val="24"/>
      <w:lang w:val="en-US" w:eastAsia="en-US"/>
    </w:rPr>
  </w:style>
  <w:style w:type="character" w:customStyle="1" w:styleId="ResourceTypeChar">
    <w:name w:val="Resource Type Char"/>
    <w:link w:val="ResourceType"/>
    <w:rsid w:val="007656EA"/>
    <w:rPr>
      <w:rFonts w:ascii="Arial" w:eastAsia="Arial Unicode MS" w:hAnsi="Arial" w:cs="Arial"/>
      <w:color w:val="000000"/>
      <w:sz w:val="24"/>
      <w:szCs w:val="24"/>
      <w:lang w:val="en-US" w:eastAsia="en-US"/>
    </w:rPr>
  </w:style>
  <w:style w:type="paragraph" w:customStyle="1" w:styleId="ScheduleHeading-Single">
    <w:name w:val="Schedule Heading - Single"/>
    <w:aliases w:val="Sch   main head inc single"/>
    <w:basedOn w:val="Normal"/>
    <w:next w:val="Normal"/>
    <w:rsid w:val="007656EA"/>
    <w:pPr>
      <w:numPr>
        <w:numId w:val="4"/>
      </w:numPr>
      <w:spacing w:before="240" w:after="360" w:line="300" w:lineRule="atLeast"/>
      <w:jc w:val="both"/>
    </w:pPr>
    <w:rPr>
      <w:rFonts w:eastAsia="Arial Unicode MS" w:cs="Arial"/>
      <w:b/>
      <w:color w:val="000000"/>
      <w:kern w:val="28"/>
    </w:rPr>
  </w:style>
  <w:style w:type="paragraph" w:customStyle="1" w:styleId="ScheduleHeading">
    <w:name w:val="Schedule Heading"/>
    <w:aliases w:val="Sch   main head"/>
    <w:basedOn w:val="Normal"/>
    <w:next w:val="Normal"/>
    <w:autoRedefine/>
    <w:rsid w:val="007656EA"/>
    <w:pPr>
      <w:keepNext/>
      <w:pageBreakBefore/>
      <w:numPr>
        <w:numId w:val="5"/>
      </w:numPr>
      <w:spacing w:before="240" w:after="360" w:line="300" w:lineRule="atLeast"/>
      <w:jc w:val="center"/>
      <w:outlineLvl w:val="0"/>
    </w:pPr>
    <w:rPr>
      <w:rFonts w:eastAsia="Arial Unicode MS" w:cs="Arial"/>
      <w:b/>
      <w:color w:val="000000"/>
      <w:kern w:val="28"/>
    </w:rPr>
  </w:style>
  <w:style w:type="paragraph" w:customStyle="1" w:styleId="SectionHeading">
    <w:name w:val="Section Heading"/>
    <w:aliases w:val="1stIntroHeadings"/>
    <w:basedOn w:val="Normal"/>
    <w:next w:val="Normal"/>
    <w:rsid w:val="007656EA"/>
    <w:pPr>
      <w:tabs>
        <w:tab w:val="left" w:pos="709"/>
      </w:tabs>
      <w:spacing w:before="120" w:line="300" w:lineRule="atLeast"/>
      <w:jc w:val="both"/>
    </w:pPr>
    <w:rPr>
      <w:rFonts w:eastAsia="Arial Unicode MS" w:cs="Arial"/>
      <w:b/>
      <w:smallCaps/>
      <w:color w:val="000000"/>
    </w:rPr>
  </w:style>
  <w:style w:type="paragraph" w:customStyle="1" w:styleId="Shortquestion">
    <w:name w:val="Shortquestion"/>
    <w:basedOn w:val="Normal"/>
    <w:rsid w:val="007656EA"/>
    <w:pPr>
      <w:spacing w:line="300" w:lineRule="atLeast"/>
      <w:jc w:val="both"/>
    </w:pPr>
    <w:rPr>
      <w:rFonts w:eastAsia="Arial Unicode MS" w:cs="Arial"/>
      <w:color w:val="000000"/>
    </w:rPr>
  </w:style>
  <w:style w:type="paragraph" w:customStyle="1" w:styleId="SpeedreadPara">
    <w:name w:val="Speedread Para"/>
    <w:basedOn w:val="Normal"/>
    <w:rsid w:val="007656EA"/>
    <w:pPr>
      <w:spacing w:line="300" w:lineRule="atLeast"/>
      <w:jc w:val="both"/>
    </w:pPr>
    <w:rPr>
      <w:rFonts w:eastAsia="Arial Unicode MS" w:cs="Arial"/>
      <w:color w:val="000000"/>
    </w:rPr>
  </w:style>
  <w:style w:type="paragraph" w:customStyle="1" w:styleId="SpeedreadSection1Para">
    <w:name w:val="Speedread Section1 Para"/>
    <w:basedOn w:val="Normal"/>
    <w:rsid w:val="007656EA"/>
    <w:pPr>
      <w:spacing w:line="300" w:lineRule="atLeast"/>
      <w:jc w:val="both"/>
    </w:pPr>
    <w:rPr>
      <w:rFonts w:eastAsia="Arial Unicode MS" w:cs="Arial"/>
      <w:color w:val="000000"/>
    </w:rPr>
  </w:style>
  <w:style w:type="paragraph" w:customStyle="1" w:styleId="SpeedreadSection1Text">
    <w:name w:val="Speedread Section1 Text"/>
    <w:basedOn w:val="Normal"/>
    <w:rsid w:val="007656EA"/>
    <w:pPr>
      <w:spacing w:line="300" w:lineRule="atLeast"/>
      <w:jc w:val="both"/>
    </w:pPr>
    <w:rPr>
      <w:rFonts w:eastAsia="Arial Unicode MS" w:cs="Arial"/>
      <w:color w:val="000000"/>
    </w:rPr>
  </w:style>
  <w:style w:type="paragraph" w:customStyle="1" w:styleId="SpeedreadText">
    <w:name w:val="Speedread Text"/>
    <w:basedOn w:val="Normal"/>
    <w:rsid w:val="007656EA"/>
    <w:pPr>
      <w:spacing w:line="300" w:lineRule="atLeast"/>
      <w:jc w:val="both"/>
    </w:pPr>
    <w:rPr>
      <w:rFonts w:eastAsia="Arial Unicode MS" w:cs="Arial"/>
      <w:color w:val="000000"/>
    </w:rPr>
  </w:style>
  <w:style w:type="paragraph" w:customStyle="1" w:styleId="SpeedreadTitle">
    <w:name w:val="Speedread Title"/>
    <w:basedOn w:val="Normal"/>
    <w:rsid w:val="007656EA"/>
    <w:pPr>
      <w:spacing w:line="300" w:lineRule="atLeast"/>
      <w:jc w:val="both"/>
    </w:pPr>
    <w:rPr>
      <w:rFonts w:eastAsia="Arial Unicode MS" w:cs="Arial"/>
      <w:b/>
      <w:color w:val="000000"/>
      <w:sz w:val="36"/>
    </w:rPr>
  </w:style>
  <w:style w:type="paragraph" w:customStyle="1" w:styleId="TemplateType">
    <w:name w:val="Template Type"/>
    <w:link w:val="TemplateTypeChar"/>
    <w:rsid w:val="007656EA"/>
    <w:pPr>
      <w:spacing w:after="120" w:line="240" w:lineRule="auto"/>
    </w:pPr>
    <w:rPr>
      <w:rFonts w:ascii="Arial" w:eastAsia="Arial Unicode MS" w:hAnsi="Arial" w:cs="Arial"/>
      <w:color w:val="000000"/>
      <w:sz w:val="24"/>
      <w:szCs w:val="24"/>
      <w:lang w:val="en-US" w:eastAsia="en-US"/>
    </w:rPr>
  </w:style>
  <w:style w:type="character" w:customStyle="1" w:styleId="TemplateTypeChar">
    <w:name w:val="Template Type Char"/>
    <w:link w:val="TemplateType"/>
    <w:rsid w:val="007656EA"/>
    <w:rPr>
      <w:rFonts w:ascii="Arial" w:eastAsia="Arial Unicode MS" w:hAnsi="Arial" w:cs="Arial"/>
      <w:color w:val="000000"/>
      <w:sz w:val="24"/>
      <w:szCs w:val="24"/>
      <w:lang w:val="en-US" w:eastAsia="en-US"/>
    </w:rPr>
  </w:style>
  <w:style w:type="paragraph" w:styleId="Title">
    <w:name w:val="Title"/>
    <w:basedOn w:val="Normal"/>
    <w:next w:val="Normal"/>
    <w:link w:val="TitleChar"/>
    <w:qFormat/>
    <w:rsid w:val="0052640A"/>
    <w:pPr>
      <w:spacing w:after="240"/>
      <w:contextualSpacing/>
    </w:pPr>
    <w:rPr>
      <w:rFonts w:cs="Arial"/>
      <w:b/>
    </w:rPr>
  </w:style>
  <w:style w:type="character" w:customStyle="1" w:styleId="TitleChar">
    <w:name w:val="Title Char"/>
    <w:basedOn w:val="DefaultParagraphFont"/>
    <w:link w:val="Title"/>
    <w:rsid w:val="0052640A"/>
    <w:rPr>
      <w:rFonts w:ascii="Arial" w:eastAsiaTheme="minorHAnsi" w:hAnsi="Arial" w:cs="Arial"/>
      <w:b/>
      <w:kern w:val="2"/>
      <w:sz w:val="24"/>
      <w:szCs w:val="24"/>
      <w:lang w:eastAsia="en-US"/>
      <w14:ligatures w14:val="standardContextual"/>
    </w:rPr>
  </w:style>
  <w:style w:type="paragraph" w:styleId="Footer">
    <w:name w:val="footer"/>
    <w:basedOn w:val="Normal"/>
    <w:link w:val="FooterChar"/>
    <w:rsid w:val="0052640A"/>
    <w:pPr>
      <w:spacing w:after="0"/>
    </w:pPr>
    <w:rPr>
      <w:rFonts w:cs="Arial"/>
      <w:sz w:val="12"/>
    </w:rPr>
  </w:style>
  <w:style w:type="character" w:customStyle="1" w:styleId="FooterChar">
    <w:name w:val="Footer Char"/>
    <w:basedOn w:val="DefaultParagraphFont"/>
    <w:link w:val="Footer"/>
    <w:rsid w:val="0052640A"/>
    <w:rPr>
      <w:rFonts w:ascii="Arial" w:eastAsiaTheme="minorHAnsi" w:hAnsi="Arial" w:cs="Arial"/>
      <w:kern w:val="2"/>
      <w:sz w:val="12"/>
      <w:szCs w:val="20"/>
      <w:lang w:eastAsia="en-US"/>
      <w14:ligatures w14:val="standardContextual"/>
    </w:rPr>
  </w:style>
  <w:style w:type="character" w:styleId="Hyperlink">
    <w:name w:val="Hyperlink"/>
    <w:uiPriority w:val="99"/>
    <w:rsid w:val="0052640A"/>
    <w:rPr>
      <w:color w:val="E31B23"/>
      <w:szCs w:val="22"/>
    </w:rPr>
  </w:style>
  <w:style w:type="paragraph" w:customStyle="1" w:styleId="Bullet4">
    <w:name w:val="Bullet4"/>
    <w:basedOn w:val="Normal"/>
    <w:rsid w:val="007656EA"/>
    <w:pPr>
      <w:numPr>
        <w:numId w:val="6"/>
      </w:numPr>
      <w:spacing w:after="240" w:line="240" w:lineRule="auto"/>
      <w:jc w:val="both"/>
    </w:pPr>
    <w:rPr>
      <w:rFonts w:ascii="Times New Roman" w:eastAsia="Times New Roman" w:hAnsi="Times New Roman" w:cs="Times New Roman"/>
      <w:color w:val="000000"/>
    </w:rPr>
  </w:style>
  <w:style w:type="paragraph" w:customStyle="1" w:styleId="Paragraph">
    <w:name w:val="Paragraph"/>
    <w:basedOn w:val="Normal"/>
    <w:link w:val="ParagraphChar"/>
    <w:qFormat/>
    <w:rsid w:val="007656EA"/>
    <w:pPr>
      <w:spacing w:line="300" w:lineRule="atLeast"/>
      <w:jc w:val="both"/>
    </w:pPr>
    <w:rPr>
      <w:rFonts w:eastAsia="Arial Unicode MS" w:cs="Arial"/>
      <w:color w:val="000000"/>
    </w:rPr>
  </w:style>
  <w:style w:type="paragraph" w:customStyle="1" w:styleId="IgnoredTemplateText">
    <w:name w:val="Ignored Template Text"/>
    <w:link w:val="IgnoredTemplateTextChar"/>
    <w:rsid w:val="007656EA"/>
    <w:pPr>
      <w:pBdr>
        <w:top w:val="single" w:sz="4" w:space="1" w:color="auto"/>
        <w:left w:val="single" w:sz="4" w:space="4" w:color="auto"/>
        <w:bottom w:val="single" w:sz="4" w:space="1" w:color="auto"/>
        <w:right w:val="single" w:sz="4" w:space="4" w:color="auto"/>
      </w:pBdr>
      <w:shd w:val="pct15" w:color="auto" w:fill="FBD4B4" w:themeFill="accent6" w:themeFillTint="66"/>
      <w:spacing w:after="120" w:line="240" w:lineRule="auto"/>
    </w:pPr>
    <w:rPr>
      <w:rFonts w:ascii="Arial" w:eastAsia="Arial Unicode MS" w:hAnsi="Arial" w:cs="Arial"/>
      <w:b/>
      <w:i/>
      <w:color w:val="000000"/>
      <w:szCs w:val="18"/>
      <w:lang w:val="en-US" w:eastAsia="en-US"/>
    </w:rPr>
  </w:style>
  <w:style w:type="character" w:customStyle="1" w:styleId="IgnoredTemplateTextChar">
    <w:name w:val="Ignored Template Text Char"/>
    <w:link w:val="IgnoredTemplateText"/>
    <w:rsid w:val="007656EA"/>
    <w:rPr>
      <w:rFonts w:ascii="Arial" w:eastAsia="Arial Unicode MS" w:hAnsi="Arial" w:cs="Arial"/>
      <w:b/>
      <w:i/>
      <w:color w:val="000000"/>
      <w:szCs w:val="18"/>
      <w:shd w:val="pct15" w:color="auto" w:fill="FBD4B4" w:themeFill="accent6" w:themeFillTint="66"/>
      <w:lang w:val="en-US" w:eastAsia="en-US"/>
    </w:rPr>
  </w:style>
  <w:style w:type="paragraph" w:customStyle="1" w:styleId="InternalTOC">
    <w:name w:val="Internal TOC"/>
    <w:rsid w:val="007656EA"/>
    <w:pPr>
      <w:spacing w:after="120" w:line="240" w:lineRule="auto"/>
    </w:pPr>
    <w:rPr>
      <w:rFonts w:ascii="Arial" w:eastAsia="Arial Unicode MS" w:hAnsi="Arial" w:cs="Arial"/>
      <w:color w:val="000000"/>
      <w:lang w:val="en-US" w:eastAsia="en-US"/>
    </w:rPr>
  </w:style>
  <w:style w:type="paragraph" w:customStyle="1" w:styleId="HeadingLevel1">
    <w:name w:val="Heading Level 1"/>
    <w:basedOn w:val="Normal"/>
    <w:next w:val="Paragraph"/>
    <w:rsid w:val="007656EA"/>
    <w:pPr>
      <w:keepNext/>
      <w:spacing w:line="300" w:lineRule="atLeast"/>
      <w:jc w:val="both"/>
      <w:outlineLvl w:val="1"/>
    </w:pPr>
    <w:rPr>
      <w:rFonts w:eastAsia="Arial Unicode MS" w:cs="Arial"/>
      <w:b/>
      <w:color w:val="000000"/>
      <w:sz w:val="36"/>
    </w:rPr>
  </w:style>
  <w:style w:type="paragraph" w:customStyle="1" w:styleId="HeadingLevel2">
    <w:name w:val="Heading Level 2"/>
    <w:basedOn w:val="Normal"/>
    <w:next w:val="Paragraph"/>
    <w:rsid w:val="007656EA"/>
    <w:pPr>
      <w:keepNext/>
      <w:spacing w:line="300" w:lineRule="atLeast"/>
      <w:jc w:val="both"/>
      <w:outlineLvl w:val="2"/>
    </w:pPr>
    <w:rPr>
      <w:rFonts w:eastAsia="Arial Unicode MS" w:cs="Arial"/>
      <w:b/>
      <w:color w:val="000000"/>
      <w:sz w:val="28"/>
    </w:rPr>
  </w:style>
  <w:style w:type="paragraph" w:customStyle="1" w:styleId="HeadingLevel3">
    <w:name w:val="Heading Level 3"/>
    <w:basedOn w:val="Normal"/>
    <w:next w:val="Paragraph"/>
    <w:rsid w:val="007656EA"/>
    <w:pPr>
      <w:keepNext/>
      <w:spacing w:line="300" w:lineRule="atLeast"/>
      <w:jc w:val="both"/>
      <w:outlineLvl w:val="3"/>
    </w:pPr>
    <w:rPr>
      <w:rFonts w:eastAsia="Arial Unicode MS" w:cs="Arial"/>
      <w:b/>
      <w:i/>
      <w:color w:val="000000"/>
      <w:sz w:val="28"/>
    </w:rPr>
  </w:style>
  <w:style w:type="paragraph" w:styleId="Header">
    <w:name w:val="header"/>
    <w:basedOn w:val="Normal"/>
    <w:link w:val="HeaderChar"/>
    <w:uiPriority w:val="99"/>
    <w:rsid w:val="0052640A"/>
    <w:pPr>
      <w:spacing w:after="0"/>
    </w:pPr>
  </w:style>
  <w:style w:type="character" w:customStyle="1" w:styleId="HeaderChar">
    <w:name w:val="Header Char"/>
    <w:basedOn w:val="DefaultParagraphFont"/>
    <w:link w:val="Header"/>
    <w:uiPriority w:val="99"/>
    <w:rsid w:val="0052640A"/>
    <w:rPr>
      <w:rFonts w:ascii="Arial" w:eastAsiaTheme="minorHAnsi" w:hAnsi="Arial"/>
      <w:kern w:val="2"/>
      <w:sz w:val="20"/>
      <w:szCs w:val="20"/>
      <w:lang w:eastAsia="en-US"/>
      <w14:ligatures w14:val="standardContextual"/>
    </w:rPr>
  </w:style>
  <w:style w:type="character" w:styleId="PlaceholderText">
    <w:name w:val="Placeholder Text"/>
    <w:basedOn w:val="DefaultParagraphFont"/>
    <w:uiPriority w:val="99"/>
    <w:rsid w:val="007656EA"/>
    <w:rPr>
      <w:color w:val="000000"/>
    </w:rPr>
  </w:style>
  <w:style w:type="paragraph" w:styleId="BalloonText">
    <w:name w:val="Balloon Text"/>
    <w:basedOn w:val="Normal"/>
    <w:link w:val="BalloonTextChar"/>
    <w:semiHidden/>
    <w:rsid w:val="0052640A"/>
    <w:rPr>
      <w:rFonts w:cs="Tahoma"/>
      <w:sz w:val="16"/>
      <w:szCs w:val="16"/>
    </w:rPr>
  </w:style>
  <w:style w:type="character" w:customStyle="1" w:styleId="BalloonTextChar">
    <w:name w:val="Balloon Text Char"/>
    <w:basedOn w:val="DefaultParagraphFont"/>
    <w:link w:val="BalloonText"/>
    <w:semiHidden/>
    <w:rsid w:val="0052640A"/>
    <w:rPr>
      <w:rFonts w:ascii="Arial" w:eastAsiaTheme="minorHAnsi" w:hAnsi="Arial" w:cs="Tahoma"/>
      <w:kern w:val="2"/>
      <w:sz w:val="16"/>
      <w:szCs w:val="16"/>
      <w:lang w:eastAsia="en-US"/>
      <w14:ligatures w14:val="standardContextual"/>
    </w:rPr>
  </w:style>
  <w:style w:type="paragraph" w:customStyle="1" w:styleId="PinPointRef">
    <w:name w:val="PinPoint Ref"/>
    <w:link w:val="PinPointRefChar"/>
    <w:qFormat/>
    <w:rsid w:val="007656EA"/>
    <w:pPr>
      <w:spacing w:after="0" w:line="240" w:lineRule="auto"/>
    </w:pPr>
    <w:rPr>
      <w:rFonts w:ascii="Times New Roman" w:eastAsia="Times New Roman" w:hAnsi="Times New Roman" w:cs="Times New Roman"/>
      <w:b/>
      <w:vanish/>
      <w:color w:val="000000"/>
      <w:sz w:val="18"/>
      <w:szCs w:val="20"/>
      <w:lang w:eastAsia="en-US"/>
    </w:rPr>
  </w:style>
  <w:style w:type="character" w:customStyle="1" w:styleId="PinPointRefChar">
    <w:name w:val="PinPoint Ref Char"/>
    <w:basedOn w:val="DefaultParagraphFont"/>
    <w:link w:val="PinPointRef"/>
    <w:rsid w:val="007656EA"/>
    <w:rPr>
      <w:rFonts w:ascii="Times New Roman" w:eastAsia="Times New Roman" w:hAnsi="Times New Roman" w:cs="Times New Roman"/>
      <w:b/>
      <w:vanish/>
      <w:color w:val="000000"/>
      <w:sz w:val="18"/>
      <w:szCs w:val="20"/>
      <w:lang w:eastAsia="en-US"/>
    </w:rPr>
  </w:style>
  <w:style w:type="paragraph" w:customStyle="1" w:styleId="BlockQuote">
    <w:name w:val="Block Quote"/>
    <w:link w:val="BlockQuoteChar"/>
    <w:qFormat/>
    <w:rsid w:val="007656EA"/>
    <w:pPr>
      <w:spacing w:before="120" w:after="0" w:line="240" w:lineRule="auto"/>
      <w:ind w:left="720"/>
    </w:pPr>
    <w:rPr>
      <w:rFonts w:ascii="Arial" w:eastAsia="Arial Unicode MS" w:hAnsi="Arial" w:cs="Arial"/>
      <w:color w:val="000000"/>
      <w:sz w:val="18"/>
      <w:szCs w:val="20"/>
      <w:lang w:eastAsia="en-US"/>
    </w:rPr>
  </w:style>
  <w:style w:type="character" w:customStyle="1" w:styleId="BlockQuoteChar">
    <w:name w:val="Block Quote Char"/>
    <w:basedOn w:val="DefaultParagraphFont"/>
    <w:link w:val="BlockQuote"/>
    <w:rsid w:val="007656EA"/>
    <w:rPr>
      <w:rFonts w:ascii="Arial" w:eastAsia="Arial Unicode MS" w:hAnsi="Arial" w:cs="Arial"/>
      <w:color w:val="000000"/>
      <w:sz w:val="18"/>
      <w:szCs w:val="20"/>
      <w:lang w:eastAsia="en-US"/>
    </w:rPr>
  </w:style>
  <w:style w:type="paragraph" w:customStyle="1" w:styleId="ListParagraphLevel1">
    <w:name w:val="List Paragraph Level 1"/>
    <w:link w:val="ListParagraphLevel1Char"/>
    <w:rsid w:val="007656EA"/>
    <w:pPr>
      <w:spacing w:after="120" w:line="240" w:lineRule="auto"/>
      <w:ind w:left="357"/>
      <w:jc w:val="both"/>
    </w:pPr>
    <w:rPr>
      <w:rFonts w:ascii="Arial" w:eastAsia="Arial Unicode MS" w:hAnsi="Arial" w:cs="Arial"/>
      <w:color w:val="000000"/>
      <w:szCs w:val="24"/>
      <w:lang w:val="en-US" w:eastAsia="en-US"/>
    </w:rPr>
  </w:style>
  <w:style w:type="paragraph" w:customStyle="1" w:styleId="ListParagraphLevel2">
    <w:name w:val="List Paragraph Level 2"/>
    <w:link w:val="ListParagraphLevel2Char"/>
    <w:qFormat/>
    <w:rsid w:val="007656EA"/>
    <w:pPr>
      <w:spacing w:after="120" w:line="240" w:lineRule="auto"/>
      <w:ind w:left="1077"/>
      <w:jc w:val="both"/>
    </w:pPr>
    <w:rPr>
      <w:rFonts w:ascii="Arial" w:eastAsia="Arial Unicode MS" w:hAnsi="Arial" w:cs="Arial"/>
      <w:color w:val="000000"/>
      <w:szCs w:val="24"/>
      <w:lang w:val="en-US" w:eastAsia="en-US"/>
    </w:rPr>
  </w:style>
  <w:style w:type="character" w:customStyle="1" w:styleId="ListParagraphLevel1Char">
    <w:name w:val="List Paragraph Level 1 Char"/>
    <w:basedOn w:val="DefaultParagraphFont"/>
    <w:link w:val="ListParagraphLevel1"/>
    <w:rsid w:val="007656EA"/>
    <w:rPr>
      <w:rFonts w:ascii="Arial" w:eastAsia="Arial Unicode MS" w:hAnsi="Arial" w:cs="Arial"/>
      <w:color w:val="000000"/>
      <w:szCs w:val="24"/>
      <w:lang w:val="en-US" w:eastAsia="en-US"/>
    </w:rPr>
  </w:style>
  <w:style w:type="character" w:customStyle="1" w:styleId="ListParagraphLevel2Char">
    <w:name w:val="List Paragraph Level 2 Char"/>
    <w:basedOn w:val="DefaultParagraphFont"/>
    <w:link w:val="ListParagraphLevel2"/>
    <w:rsid w:val="007656EA"/>
    <w:rPr>
      <w:rFonts w:ascii="Arial" w:eastAsia="Arial Unicode MS" w:hAnsi="Arial" w:cs="Arial"/>
      <w:color w:val="000000"/>
      <w:szCs w:val="24"/>
      <w:lang w:val="en-US" w:eastAsia="en-US"/>
    </w:rPr>
  </w:style>
  <w:style w:type="paragraph" w:customStyle="1" w:styleId="IntroDefault">
    <w:name w:val="Intro Default"/>
    <w:basedOn w:val="Paragraph"/>
    <w:qFormat/>
    <w:rsid w:val="007656EA"/>
  </w:style>
  <w:style w:type="paragraph" w:customStyle="1" w:styleId="IntroCustom">
    <w:name w:val="Intro Custom"/>
    <w:basedOn w:val="Paragraph"/>
    <w:qFormat/>
    <w:rsid w:val="007656EA"/>
  </w:style>
  <w:style w:type="paragraph" w:customStyle="1" w:styleId="PrecedentType">
    <w:name w:val="Precedent Type"/>
    <w:basedOn w:val="IgnoredSpacing"/>
    <w:qFormat/>
    <w:rsid w:val="007656EA"/>
  </w:style>
  <w:style w:type="paragraph" w:customStyle="1" w:styleId="Operative">
    <w:name w:val="Operative"/>
    <w:basedOn w:val="IgnoredSpacing"/>
    <w:qFormat/>
    <w:rsid w:val="007656EA"/>
    <w:rPr>
      <w:vanish/>
    </w:rPr>
  </w:style>
  <w:style w:type="paragraph" w:customStyle="1" w:styleId="SpeedreadBulletList1">
    <w:name w:val="Speedread Bullet List 1"/>
    <w:basedOn w:val="BulletList1"/>
    <w:qFormat/>
    <w:rsid w:val="007656EA"/>
  </w:style>
  <w:style w:type="paragraph" w:customStyle="1" w:styleId="PartiesTitle">
    <w:name w:val="Parties Title"/>
    <w:basedOn w:val="Paragraph"/>
    <w:qFormat/>
    <w:rsid w:val="007656EA"/>
    <w:rPr>
      <w:b/>
    </w:rPr>
  </w:style>
  <w:style w:type="table" w:styleId="TableGrid">
    <w:name w:val="Table Grid"/>
    <w:basedOn w:val="TableNormal"/>
    <w:uiPriority w:val="39"/>
    <w:rsid w:val="0052640A"/>
    <w:pPr>
      <w:spacing w:after="120" w:line="259" w:lineRule="auto"/>
    </w:pPr>
    <w:rPr>
      <w:rFonts w:ascii="Arial" w:eastAsiaTheme="minorHAnsi" w:hAnsi="Arial"/>
      <w:kern w:val="2"/>
      <w:sz w:val="20"/>
      <w:szCs w:val="20"/>
      <w14:ligatures w14:val="standardContextual"/>
    </w:rPr>
    <w:tblPr>
      <w:tblInd w:w="1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5" w:type="dxa"/>
        <w:left w:w="72" w:type="dxa"/>
        <w:right w:w="72" w:type="dxa"/>
      </w:tblCellMar>
    </w:tblPr>
    <w:tblStylePr w:type="firstRow">
      <w:rPr>
        <w:rFonts w:ascii="Times New Roman" w:hAnsi="Times New Roman"/>
        <w:b w:val="0"/>
        <w:color w:val="auto"/>
        <w:sz w:val="22"/>
      </w:rPr>
    </w:tblStylePr>
  </w:style>
  <w:style w:type="paragraph" w:customStyle="1" w:styleId="QuestionParagraph">
    <w:name w:val="Question Paragraph"/>
    <w:link w:val="QuestionParagraphChar"/>
    <w:qFormat/>
    <w:rsid w:val="007656EA"/>
    <w:pPr>
      <w:numPr>
        <w:numId w:val="7"/>
      </w:numPr>
      <w:shd w:val="clear" w:color="auto" w:fill="D9D9D9" w:themeFill="background1" w:themeFillShade="D9"/>
      <w:spacing w:after="120" w:line="240" w:lineRule="auto"/>
      <w:ind w:left="357" w:hanging="357"/>
      <w:outlineLvl w:val="0"/>
    </w:pPr>
    <w:rPr>
      <w:rFonts w:ascii="Arial" w:eastAsia="Arial Unicode MS" w:hAnsi="Arial" w:cs="Arial"/>
      <w:color w:val="000000"/>
      <w:lang w:val="en-US" w:eastAsia="en-US"/>
    </w:rPr>
  </w:style>
  <w:style w:type="paragraph" w:customStyle="1" w:styleId="BulletList1Pattern">
    <w:name w:val="Bullet List 1 + Pattern"/>
    <w:basedOn w:val="BulletList1"/>
    <w:qFormat/>
    <w:rsid w:val="007656EA"/>
    <w:pPr>
      <w:shd w:val="clear" w:color="auto" w:fill="D9D9D9" w:themeFill="background1" w:themeFillShade="D9"/>
      <w:spacing w:after="120" w:line="240" w:lineRule="auto"/>
      <w:ind w:left="714" w:hanging="357"/>
    </w:pPr>
  </w:style>
  <w:style w:type="character" w:customStyle="1" w:styleId="QuestionParagraphChar">
    <w:name w:val="Question Paragraph Char"/>
    <w:basedOn w:val="DefaultParagraphFont"/>
    <w:link w:val="QuestionParagraph"/>
    <w:rsid w:val="007656EA"/>
    <w:rPr>
      <w:rFonts w:ascii="Arial" w:eastAsia="Arial Unicode MS" w:hAnsi="Arial" w:cs="Arial"/>
      <w:color w:val="000000"/>
      <w:shd w:val="clear" w:color="auto" w:fill="D9D9D9" w:themeFill="background1" w:themeFillShade="D9"/>
      <w:lang w:val="en-US" w:eastAsia="en-US"/>
    </w:rPr>
  </w:style>
  <w:style w:type="paragraph" w:customStyle="1" w:styleId="BulletList2Pattern">
    <w:name w:val="Bullet List 2 + Pattern"/>
    <w:basedOn w:val="BulletList2"/>
    <w:qFormat/>
    <w:rsid w:val="007656EA"/>
    <w:pPr>
      <w:shd w:val="clear" w:color="auto" w:fill="D9D9D9" w:themeFill="background1" w:themeFillShade="D9"/>
      <w:ind w:left="1077"/>
    </w:pPr>
    <w:rPr>
      <w:color w:val="000000"/>
    </w:rPr>
  </w:style>
  <w:style w:type="paragraph" w:customStyle="1" w:styleId="TestimoniumContract">
    <w:name w:val="Testimonium Contract"/>
    <w:basedOn w:val="Paragraph"/>
    <w:qFormat/>
    <w:rsid w:val="007656EA"/>
  </w:style>
  <w:style w:type="paragraph" w:customStyle="1" w:styleId="TestimoniumDeed">
    <w:name w:val="Testimonium Deed"/>
    <w:basedOn w:val="Paragraph"/>
    <w:qFormat/>
    <w:rsid w:val="007656EA"/>
  </w:style>
  <w:style w:type="paragraph" w:customStyle="1" w:styleId="Titlesubclause2">
    <w:name w:val="Title subclause2"/>
    <w:basedOn w:val="Untitledsubclause2"/>
    <w:qFormat/>
    <w:rsid w:val="007656EA"/>
    <w:rPr>
      <w:b/>
    </w:rPr>
  </w:style>
  <w:style w:type="paragraph" w:customStyle="1" w:styleId="Titlesubclause3">
    <w:name w:val="Title subclause3"/>
    <w:basedOn w:val="Untitledsubclause3"/>
    <w:qFormat/>
    <w:rsid w:val="007656EA"/>
    <w:rPr>
      <w:b/>
    </w:rPr>
  </w:style>
  <w:style w:type="paragraph" w:customStyle="1" w:styleId="Titlesubclause4">
    <w:name w:val="Title subclause4"/>
    <w:basedOn w:val="Untitledsubclause4"/>
    <w:qFormat/>
    <w:rsid w:val="007656EA"/>
    <w:rPr>
      <w:b/>
    </w:rPr>
  </w:style>
  <w:style w:type="paragraph" w:customStyle="1" w:styleId="UntitledClause">
    <w:name w:val="Untitled Clause"/>
    <w:basedOn w:val="TitleClause"/>
    <w:qFormat/>
    <w:rsid w:val="007656EA"/>
    <w:pPr>
      <w:spacing w:before="120"/>
    </w:pPr>
    <w:rPr>
      <w:b w:val="0"/>
    </w:rPr>
  </w:style>
  <w:style w:type="paragraph" w:customStyle="1" w:styleId="Titlesubclause1">
    <w:name w:val="Title subclause1"/>
    <w:basedOn w:val="Untitledsubclause1"/>
    <w:qFormat/>
    <w:rsid w:val="007656EA"/>
    <w:pPr>
      <w:spacing w:before="120"/>
    </w:pPr>
    <w:rPr>
      <w:b/>
    </w:rPr>
  </w:style>
  <w:style w:type="paragraph" w:customStyle="1" w:styleId="Schedule">
    <w:name w:val="Schedule"/>
    <w:basedOn w:val="BodyText"/>
    <w:next w:val="BodyText"/>
    <w:qFormat/>
    <w:rsid w:val="0052640A"/>
    <w:pPr>
      <w:keepNext/>
      <w:numPr>
        <w:numId w:val="24"/>
      </w:numPr>
      <w:outlineLvl w:val="0"/>
    </w:pPr>
    <w:rPr>
      <w:b/>
    </w:rPr>
  </w:style>
  <w:style w:type="character" w:customStyle="1" w:styleId="Heading1Char">
    <w:name w:val="Heading 1 Char"/>
    <w:basedOn w:val="DefaultParagraphFont"/>
    <w:link w:val="Heading1"/>
    <w:rsid w:val="0052640A"/>
    <w:rPr>
      <w:rFonts w:eastAsiaTheme="minorHAnsi"/>
      <w:b/>
      <w:kern w:val="2"/>
      <w:lang w:eastAsia="en-US"/>
      <w14:ligatures w14:val="standardContextual"/>
    </w:rPr>
  </w:style>
  <w:style w:type="character" w:customStyle="1" w:styleId="Heading2Char">
    <w:name w:val="Heading 2 Char"/>
    <w:basedOn w:val="DefaultParagraphFont"/>
    <w:link w:val="Heading2"/>
    <w:rsid w:val="0052640A"/>
    <w:rPr>
      <w:rFonts w:eastAsiaTheme="minorHAnsi"/>
      <w:b/>
      <w:kern w:val="2"/>
      <w:lang w:eastAsia="en-US"/>
      <w14:ligatures w14:val="standardContextual"/>
    </w:rPr>
  </w:style>
  <w:style w:type="character" w:customStyle="1" w:styleId="Heading3Char">
    <w:name w:val="Heading 3 Char"/>
    <w:basedOn w:val="DefaultParagraphFont"/>
    <w:link w:val="Heading3"/>
    <w:rsid w:val="0052640A"/>
    <w:rPr>
      <w:rFonts w:eastAsiaTheme="minorHAnsi"/>
      <w:kern w:val="2"/>
      <w:lang w:eastAsia="en-US"/>
      <w14:ligatures w14:val="standardContextual"/>
    </w:rPr>
  </w:style>
  <w:style w:type="character" w:customStyle="1" w:styleId="Heading4Char">
    <w:name w:val="Heading 4 Char"/>
    <w:basedOn w:val="DefaultParagraphFont"/>
    <w:link w:val="Heading4"/>
    <w:rsid w:val="0052640A"/>
    <w:rPr>
      <w:rFonts w:eastAsiaTheme="minorHAnsi"/>
      <w:kern w:val="2"/>
      <w:lang w:eastAsia="en-US"/>
      <w14:ligatures w14:val="standardContextual"/>
    </w:rPr>
  </w:style>
  <w:style w:type="character" w:customStyle="1" w:styleId="Heading5Char">
    <w:name w:val="Heading 5 Char"/>
    <w:basedOn w:val="DefaultParagraphFont"/>
    <w:link w:val="Heading5"/>
    <w:rsid w:val="0052640A"/>
    <w:rPr>
      <w:rFonts w:eastAsiaTheme="minorHAnsi"/>
      <w:kern w:val="2"/>
      <w:lang w:eastAsia="en-US"/>
      <w14:ligatures w14:val="standardContextual"/>
    </w:rPr>
  </w:style>
  <w:style w:type="character" w:customStyle="1" w:styleId="Heading6Char">
    <w:name w:val="Heading 6 Char"/>
    <w:basedOn w:val="DefaultParagraphFont"/>
    <w:link w:val="Heading6"/>
    <w:rsid w:val="0052640A"/>
    <w:rPr>
      <w:rFonts w:eastAsiaTheme="minorHAnsi"/>
      <w:color w:val="000000"/>
      <w:kern w:val="2"/>
      <w:lang w:eastAsia="en-US"/>
      <w14:ligatures w14:val="standardContextual"/>
    </w:rPr>
  </w:style>
  <w:style w:type="character" w:customStyle="1" w:styleId="Heading7Char">
    <w:name w:val="Heading 7 Char"/>
    <w:basedOn w:val="DefaultParagraphFont"/>
    <w:link w:val="Heading7"/>
    <w:rsid w:val="0052640A"/>
    <w:rPr>
      <w:rFonts w:eastAsiaTheme="minorHAnsi"/>
      <w:b/>
      <w:color w:val="000000"/>
      <w:kern w:val="2"/>
      <w:lang w:eastAsia="en-US"/>
      <w14:ligatures w14:val="standardContextual"/>
    </w:rPr>
  </w:style>
  <w:style w:type="character" w:customStyle="1" w:styleId="Heading8Char">
    <w:name w:val="Heading 8 Char"/>
    <w:basedOn w:val="DefaultParagraphFont"/>
    <w:link w:val="Heading8"/>
    <w:rsid w:val="0052640A"/>
    <w:rPr>
      <w:rFonts w:eastAsiaTheme="minorHAnsi"/>
      <w:b/>
      <w:kern w:val="2"/>
      <w:szCs w:val="28"/>
      <w:lang w:eastAsia="en-US"/>
      <w14:ligatures w14:val="standardContextual"/>
    </w:rPr>
  </w:style>
  <w:style w:type="character" w:customStyle="1" w:styleId="Heading9Char">
    <w:name w:val="Heading 9 Char"/>
    <w:basedOn w:val="DefaultParagraphFont"/>
    <w:link w:val="Heading9"/>
    <w:rsid w:val="0052640A"/>
    <w:rPr>
      <w:rFonts w:eastAsiaTheme="minorHAnsi"/>
      <w:b/>
      <w:color w:val="000000"/>
      <w:kern w:val="2"/>
      <w:sz w:val="28"/>
      <w:lang w:eastAsia="en-US"/>
      <w14:ligatures w14:val="standardContextual"/>
    </w:rPr>
  </w:style>
  <w:style w:type="paragraph" w:customStyle="1" w:styleId="ScheduleTitle">
    <w:name w:val="Schedule Title"/>
    <w:basedOn w:val="Paragraph"/>
    <w:qFormat/>
    <w:rsid w:val="007656EA"/>
    <w:rPr>
      <w:b/>
    </w:rPr>
  </w:style>
  <w:style w:type="paragraph" w:customStyle="1" w:styleId="Part">
    <w:name w:val="Part"/>
    <w:basedOn w:val="Paragraph"/>
    <w:qFormat/>
    <w:rsid w:val="007656EA"/>
    <w:pPr>
      <w:numPr>
        <w:ilvl w:val="1"/>
        <w:numId w:val="19"/>
      </w:numPr>
      <w:spacing w:before="240" w:after="240"/>
      <w:jc w:val="left"/>
    </w:pPr>
    <w:rPr>
      <w:b/>
    </w:rPr>
  </w:style>
  <w:style w:type="paragraph" w:customStyle="1" w:styleId="AnnexTitle">
    <w:name w:val="Annex Title"/>
    <w:basedOn w:val="Paragraph"/>
    <w:next w:val="Paragraph"/>
    <w:qFormat/>
    <w:rsid w:val="007656EA"/>
    <w:pPr>
      <w:spacing w:before="240" w:after="240"/>
    </w:pPr>
    <w:rPr>
      <w:b/>
    </w:rPr>
  </w:style>
  <w:style w:type="paragraph" w:customStyle="1" w:styleId="PartTitle">
    <w:name w:val="Part Title"/>
    <w:basedOn w:val="Paragraph"/>
    <w:qFormat/>
    <w:rsid w:val="007656EA"/>
    <w:rPr>
      <w:b/>
    </w:rPr>
  </w:style>
  <w:style w:type="paragraph" w:customStyle="1" w:styleId="Testimonium">
    <w:name w:val="Testimonium"/>
    <w:basedOn w:val="Normal"/>
    <w:rsid w:val="0052640A"/>
  </w:style>
  <w:style w:type="character" w:customStyle="1" w:styleId="apple-converted-space">
    <w:name w:val="apple-converted-space"/>
    <w:basedOn w:val="DefaultParagraphFont"/>
    <w:rsid w:val="007656EA"/>
    <w:rPr>
      <w:color w:val="000000"/>
    </w:rPr>
  </w:style>
  <w:style w:type="character" w:styleId="Emphasis">
    <w:name w:val="Emphasis"/>
    <w:basedOn w:val="DefaultParagraphFont"/>
    <w:uiPriority w:val="20"/>
    <w:qFormat/>
    <w:rsid w:val="007656EA"/>
    <w:rPr>
      <w:i/>
      <w:iCs/>
      <w:color w:val="000000"/>
    </w:rPr>
  </w:style>
  <w:style w:type="paragraph" w:customStyle="1" w:styleId="NoNumTitle-Clause">
    <w:name w:val="No Num Title - Clause"/>
    <w:basedOn w:val="TitleClause"/>
    <w:qFormat/>
    <w:rsid w:val="007656EA"/>
    <w:pPr>
      <w:ind w:left="720"/>
    </w:pPr>
  </w:style>
  <w:style w:type="paragraph" w:customStyle="1" w:styleId="NoNumTitlesubclause1">
    <w:name w:val="No Num Title subclause1"/>
    <w:basedOn w:val="Titlesubclause1"/>
    <w:qFormat/>
    <w:rsid w:val="007656EA"/>
    <w:pPr>
      <w:ind w:left="720"/>
    </w:pPr>
  </w:style>
  <w:style w:type="paragraph" w:customStyle="1" w:styleId="AddressLine">
    <w:name w:val="Address Line"/>
    <w:basedOn w:val="Paragraph"/>
    <w:qFormat/>
    <w:rsid w:val="007656EA"/>
  </w:style>
  <w:style w:type="paragraph" w:styleId="Date">
    <w:name w:val="Date"/>
    <w:basedOn w:val="Normal"/>
    <w:link w:val="DateChar"/>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paragraph" w:customStyle="1" w:styleId="SalutationPara">
    <w:name w:val="Salutation Para"/>
    <w:basedOn w:val="Paragraph"/>
    <w:next w:val="Paragraph"/>
    <w:qFormat/>
    <w:rsid w:val="007656EA"/>
    <w:pPr>
      <w:spacing w:before="240"/>
    </w:pPr>
  </w:style>
  <w:style w:type="character" w:styleId="FollowedHyperlink">
    <w:name w:val="FollowedHyperlink"/>
    <w:semiHidden/>
    <w:rsid w:val="0052640A"/>
    <w:rPr>
      <w:color w:val="E31B23"/>
      <w:szCs w:val="22"/>
    </w:rPr>
  </w:style>
  <w:style w:type="character" w:customStyle="1" w:styleId="DefTerm">
    <w:name w:val="DefTerm"/>
    <w:basedOn w:val="DefaultParagraphFont"/>
    <w:uiPriority w:val="1"/>
    <w:qFormat/>
    <w:rsid w:val="007656EA"/>
    <w:rPr>
      <w:b/>
      <w:color w:val="000000"/>
    </w:rPr>
  </w:style>
  <w:style w:type="table" w:customStyle="1" w:styleId="ShadedTable">
    <w:name w:val="Shaded Table"/>
    <w:basedOn w:val="TableNormal"/>
    <w:uiPriority w:val="99"/>
    <w:rsid w:val="007656EA"/>
    <w:pPr>
      <w:spacing w:after="0" w:line="240" w:lineRule="auto"/>
    </w:pPr>
    <w:rPr>
      <w:color w:val="000000"/>
    </w:rPr>
    <w:tblPr>
      <w:tblBorders>
        <w:top w:val="single" w:sz="4" w:space="0" w:color="auto"/>
        <w:left w:val="single" w:sz="4" w:space="0" w:color="auto"/>
        <w:bottom w:val="single" w:sz="4" w:space="0" w:color="auto"/>
        <w:right w:val="single" w:sz="4" w:space="0" w:color="auto"/>
      </w:tblBorders>
    </w:tblPr>
    <w:tcPr>
      <w:shd w:val="clear" w:color="auto" w:fill="EEECE1" w:themeFill="background2"/>
    </w:tcPr>
  </w:style>
  <w:style w:type="paragraph" w:customStyle="1" w:styleId="Letterhead">
    <w:name w:val="Letterhead"/>
    <w:basedOn w:val="Paragraph"/>
    <w:qFormat/>
    <w:rsid w:val="007656EA"/>
    <w:rPr>
      <w:i/>
    </w:rPr>
  </w:style>
  <w:style w:type="paragraph" w:customStyle="1" w:styleId="LetterTitle">
    <w:name w:val="Letter Title"/>
    <w:basedOn w:val="Paragraph"/>
    <w:qFormat/>
    <w:rsid w:val="007656EA"/>
    <w:rPr>
      <w:b/>
    </w:rPr>
  </w:style>
  <w:style w:type="paragraph" w:customStyle="1" w:styleId="LongQuestionPara">
    <w:name w:val="Long Question Para"/>
    <w:basedOn w:val="Paragraph"/>
    <w:link w:val="LongQuestionParaChar"/>
    <w:rsid w:val="007656EA"/>
    <w:pPr>
      <w:numPr>
        <w:numId w:val="9"/>
      </w:numPr>
      <w:spacing w:before="240" w:after="240" w:line="240" w:lineRule="auto"/>
      <w:outlineLvl w:val="1"/>
    </w:pPr>
    <w:rPr>
      <w:lang w:val="en-US"/>
    </w:rPr>
  </w:style>
  <w:style w:type="character" w:customStyle="1" w:styleId="LongQuestionParaChar">
    <w:name w:val="Long Question Para Char"/>
    <w:basedOn w:val="DefaultParagraphFont"/>
    <w:link w:val="LongQuestionPara"/>
    <w:rsid w:val="007656EA"/>
    <w:rPr>
      <w:rFonts w:eastAsia="Arial Unicode MS" w:cs="Arial"/>
      <w:color w:val="000000"/>
      <w:kern w:val="2"/>
      <w:lang w:val="en-US" w:eastAsia="en-US"/>
      <w14:ligatures w14:val="standardContextual"/>
    </w:rPr>
  </w:style>
  <w:style w:type="paragraph" w:customStyle="1" w:styleId="ShortQuestionPara">
    <w:name w:val="Short Question Para"/>
    <w:basedOn w:val="Paragraph"/>
    <w:link w:val="ShortQuestionParaChar"/>
    <w:rsid w:val="007656EA"/>
    <w:pPr>
      <w:shd w:val="clear" w:color="auto" w:fill="D9D9D9" w:themeFill="background1" w:themeFillShade="D9"/>
      <w:tabs>
        <w:tab w:val="left" w:pos="270"/>
      </w:tabs>
      <w:spacing w:after="40" w:line="240" w:lineRule="auto"/>
      <w:outlineLvl w:val="1"/>
    </w:pPr>
    <w:rPr>
      <w:bCs/>
      <w:lang w:val="en-US"/>
    </w:rPr>
  </w:style>
  <w:style w:type="character" w:customStyle="1" w:styleId="ShortQuestionParaChar">
    <w:name w:val="Short Question Para Char"/>
    <w:basedOn w:val="DefaultParagraphFont"/>
    <w:link w:val="ShortQuestionPara"/>
    <w:rsid w:val="007656EA"/>
    <w:rPr>
      <w:rFonts w:ascii="Arial" w:eastAsia="Arial Unicode MS" w:hAnsi="Arial" w:cs="Arial"/>
      <w:bCs/>
      <w:color w:val="000000"/>
      <w:sz w:val="20"/>
      <w:szCs w:val="20"/>
      <w:shd w:val="clear" w:color="auto" w:fill="D9D9D9" w:themeFill="background1" w:themeFillShade="D9"/>
      <w:lang w:val="en-US" w:eastAsia="en-US"/>
    </w:rPr>
  </w:style>
  <w:style w:type="character" w:customStyle="1" w:styleId="ParagraphChar">
    <w:name w:val="Paragraph Char"/>
    <w:basedOn w:val="DefaultParagraphFont"/>
    <w:link w:val="Paragraph"/>
    <w:rsid w:val="007656EA"/>
    <w:rPr>
      <w:rFonts w:ascii="Arial" w:eastAsia="Arial Unicode MS" w:hAnsi="Arial" w:cs="Arial"/>
      <w:color w:val="000000"/>
      <w:szCs w:val="20"/>
      <w:lang w:eastAsia="en-US"/>
    </w:rPr>
  </w:style>
  <w:style w:type="paragraph" w:customStyle="1" w:styleId="811D3A974D454A258B71E3C4DE24C4F210">
    <w:name w:val="811D3A974D454A258B71E3C4DE24C4F210"/>
    <w:rsid w:val="00BD4BA4"/>
    <w:pPr>
      <w:spacing w:after="120" w:line="240" w:lineRule="auto"/>
    </w:pPr>
    <w:rPr>
      <w:rFonts w:ascii="Arial" w:eastAsia="Arial Unicode MS" w:hAnsi="Arial" w:cs="Arial"/>
      <w:color w:val="000000"/>
      <w:sz w:val="24"/>
      <w:lang w:val="en-US" w:eastAsia="en-US"/>
    </w:rPr>
  </w:style>
  <w:style w:type="paragraph" w:customStyle="1" w:styleId="ListParagraphLevel3">
    <w:name w:val="List Paragraph Level 3"/>
    <w:qFormat/>
    <w:rsid w:val="007656EA"/>
    <w:pPr>
      <w:spacing w:after="120" w:line="240" w:lineRule="auto"/>
      <w:ind w:left="2160"/>
    </w:pPr>
    <w:rPr>
      <w:rFonts w:ascii="Times New Roman" w:eastAsia="Times New Roman" w:hAnsi="Times New Roman" w:cs="Times New Roman"/>
      <w:color w:val="000000"/>
      <w:sz w:val="24"/>
      <w:szCs w:val="20"/>
      <w:lang w:eastAsia="en-US"/>
    </w:rPr>
  </w:style>
  <w:style w:type="paragraph" w:customStyle="1" w:styleId="DocumentTitle">
    <w:name w:val="Document Title"/>
    <w:basedOn w:val="Paragraph"/>
    <w:qFormat/>
    <w:rsid w:val="007656EA"/>
    <w:pPr>
      <w:jc w:val="center"/>
    </w:pPr>
    <w:rPr>
      <w:sz w:val="28"/>
    </w:rPr>
  </w:style>
  <w:style w:type="paragraph" w:customStyle="1" w:styleId="Title-Clause">
    <w:name w:val="Title - Clause"/>
    <w:aliases w:val="BIWS Heading 1"/>
    <w:basedOn w:val="Normal"/>
    <w:rsid w:val="007656EA"/>
    <w:pPr>
      <w:keepNext/>
      <w:tabs>
        <w:tab w:val="num" w:pos="720"/>
      </w:tabs>
      <w:spacing w:before="240" w:after="240" w:line="300" w:lineRule="atLeast"/>
      <w:ind w:left="720" w:hanging="720"/>
      <w:jc w:val="both"/>
      <w:outlineLvl w:val="0"/>
    </w:pPr>
    <w:rPr>
      <w:rFonts w:eastAsia="Arial Unicode MS" w:cs="Arial"/>
      <w:b/>
      <w:color w:val="000000"/>
      <w:kern w:val="28"/>
    </w:rPr>
  </w:style>
  <w:style w:type="paragraph" w:customStyle="1" w:styleId="Para-Clause-nonum">
    <w:name w:val="Para - Clause - no num"/>
    <w:aliases w:val="Body  clause"/>
    <w:basedOn w:val="Normal"/>
    <w:next w:val="Title-Clause"/>
    <w:rsid w:val="007656EA"/>
    <w:pPr>
      <w:spacing w:before="120" w:line="300" w:lineRule="atLeast"/>
      <w:ind w:left="720"/>
      <w:jc w:val="both"/>
    </w:pPr>
    <w:rPr>
      <w:rFonts w:eastAsia="Arial Unicode MS" w:cs="Arial"/>
      <w:color w:val="000000"/>
    </w:rPr>
  </w:style>
  <w:style w:type="paragraph" w:customStyle="1" w:styleId="Para-Clause">
    <w:name w:val="Para - Clause"/>
    <w:basedOn w:val="Title-Clause"/>
    <w:qFormat/>
    <w:rsid w:val="007656EA"/>
    <w:pPr>
      <w:spacing w:before="120"/>
    </w:pPr>
    <w:rPr>
      <w:b w:val="0"/>
    </w:rPr>
  </w:style>
  <w:style w:type="paragraph" w:customStyle="1" w:styleId="CoversheetParagraph">
    <w:name w:val="Coversheet Paragraph"/>
    <w:basedOn w:val="Normal"/>
    <w:autoRedefine/>
    <w:rsid w:val="007656EA"/>
    <w:pPr>
      <w:spacing w:after="0" w:line="300" w:lineRule="atLeast"/>
      <w:jc w:val="center"/>
    </w:pPr>
    <w:rPr>
      <w:rFonts w:ascii="Times New Roman" w:eastAsia="Times New Roman" w:hAnsi="Times New Roman" w:cs="Times New Roman"/>
      <w:color w:val="000000"/>
    </w:rPr>
  </w:style>
  <w:style w:type="paragraph" w:customStyle="1" w:styleId="CoversheetIntro">
    <w:name w:val="Coversheet Intro"/>
    <w:basedOn w:val="CoversheetTitle"/>
    <w:qFormat/>
    <w:rsid w:val="007656EA"/>
    <w:rPr>
      <w:smallCaps w:val="0"/>
      <w:sz w:val="22"/>
    </w:rPr>
  </w:style>
  <w:style w:type="paragraph" w:customStyle="1" w:styleId="CoversheetStaticText">
    <w:name w:val="Coversheet Static Text"/>
    <w:basedOn w:val="CoversheetIntro"/>
    <w:qFormat/>
    <w:rsid w:val="007656EA"/>
    <w:rPr>
      <w:b w:val="0"/>
    </w:rPr>
  </w:style>
  <w:style w:type="paragraph" w:customStyle="1" w:styleId="CoversheetParty">
    <w:name w:val="Coversheet Party"/>
    <w:basedOn w:val="CoversheetIntro"/>
    <w:qFormat/>
    <w:rsid w:val="007656EA"/>
  </w:style>
  <w:style w:type="paragraph" w:customStyle="1" w:styleId="NoNumUntitledClause">
    <w:name w:val="No Num Untitled Clause"/>
    <w:basedOn w:val="UntitledClause"/>
    <w:qFormat/>
    <w:rsid w:val="007656EA"/>
    <w:pPr>
      <w:ind w:left="720"/>
    </w:pPr>
  </w:style>
  <w:style w:type="paragraph" w:customStyle="1" w:styleId="BackgroundSubclause1">
    <w:name w:val="Background Subclause1"/>
    <w:basedOn w:val="Background"/>
    <w:qFormat/>
    <w:rsid w:val="007656EA"/>
    <w:pPr>
      <w:numPr>
        <w:ilvl w:val="1"/>
      </w:numPr>
    </w:pPr>
  </w:style>
  <w:style w:type="paragraph" w:customStyle="1" w:styleId="BackgroundSubclause2">
    <w:name w:val="Background Subclause2"/>
    <w:basedOn w:val="Background"/>
    <w:qFormat/>
    <w:rsid w:val="007656EA"/>
    <w:pPr>
      <w:numPr>
        <w:ilvl w:val="3"/>
      </w:numPr>
    </w:pPr>
  </w:style>
  <w:style w:type="paragraph" w:customStyle="1" w:styleId="HeadingLevel2CQA">
    <w:name w:val="Heading Level 2 CQA"/>
    <w:basedOn w:val="HeadingLevel2"/>
    <w:qFormat/>
    <w:rsid w:val="007656EA"/>
  </w:style>
  <w:style w:type="paragraph" w:customStyle="1" w:styleId="ClauseBullet1">
    <w:name w:val="Clause Bullet 1"/>
    <w:basedOn w:val="ParaClause"/>
    <w:qFormat/>
    <w:rsid w:val="007656EA"/>
    <w:pPr>
      <w:numPr>
        <w:numId w:val="10"/>
      </w:numPr>
      <w:ind w:left="1077" w:hanging="357"/>
      <w:outlineLvl w:val="0"/>
    </w:pPr>
  </w:style>
  <w:style w:type="paragraph" w:customStyle="1" w:styleId="ClauseBullet2">
    <w:name w:val="Clause Bullet 2"/>
    <w:basedOn w:val="ParaClause"/>
    <w:qFormat/>
    <w:rsid w:val="007656EA"/>
    <w:pPr>
      <w:numPr>
        <w:numId w:val="11"/>
      </w:numPr>
      <w:ind w:left="1434" w:hanging="357"/>
      <w:outlineLvl w:val="1"/>
    </w:pPr>
  </w:style>
  <w:style w:type="paragraph" w:customStyle="1" w:styleId="subclause1Bullet1">
    <w:name w:val="subclause 1 Bullet 1"/>
    <w:basedOn w:val="Parasubclause1"/>
    <w:qFormat/>
    <w:rsid w:val="007656EA"/>
    <w:pPr>
      <w:numPr>
        <w:numId w:val="12"/>
      </w:numPr>
      <w:ind w:left="1077" w:hanging="357"/>
    </w:pPr>
  </w:style>
  <w:style w:type="paragraph" w:customStyle="1" w:styleId="subclause2Bullet1">
    <w:name w:val="subclause 2 Bullet 1"/>
    <w:basedOn w:val="Parasubclause2"/>
    <w:qFormat/>
    <w:rsid w:val="007656EA"/>
    <w:pPr>
      <w:numPr>
        <w:numId w:val="14"/>
      </w:numPr>
      <w:ind w:left="1434" w:hanging="357"/>
    </w:pPr>
  </w:style>
  <w:style w:type="paragraph" w:customStyle="1" w:styleId="subclause3Bullet1">
    <w:name w:val="subclause 3 Bullet 1"/>
    <w:basedOn w:val="Parasubclause3"/>
    <w:qFormat/>
    <w:rsid w:val="007656EA"/>
    <w:pPr>
      <w:numPr>
        <w:numId w:val="13"/>
      </w:numPr>
      <w:ind w:left="2273" w:hanging="357"/>
    </w:pPr>
  </w:style>
  <w:style w:type="paragraph" w:customStyle="1" w:styleId="subclause1Bullet2">
    <w:name w:val="subclause 1 Bullet 2"/>
    <w:basedOn w:val="Parasubclause1"/>
    <w:qFormat/>
    <w:rsid w:val="007656EA"/>
    <w:pPr>
      <w:numPr>
        <w:numId w:val="15"/>
      </w:numPr>
      <w:ind w:left="1434" w:hanging="357"/>
    </w:pPr>
  </w:style>
  <w:style w:type="paragraph" w:customStyle="1" w:styleId="subclause2Bullet2">
    <w:name w:val="subclause 2 Bullet 2"/>
    <w:basedOn w:val="Parasubclause2"/>
    <w:qFormat/>
    <w:rsid w:val="007656EA"/>
    <w:pPr>
      <w:numPr>
        <w:numId w:val="16"/>
      </w:numPr>
      <w:ind w:left="2273" w:hanging="357"/>
    </w:pPr>
  </w:style>
  <w:style w:type="paragraph" w:customStyle="1" w:styleId="subclause3Bullet2">
    <w:name w:val="subclause 3 Bullet 2"/>
    <w:basedOn w:val="Parasubclause3"/>
    <w:qFormat/>
    <w:rsid w:val="007656EA"/>
    <w:pPr>
      <w:numPr>
        <w:numId w:val="17"/>
      </w:numPr>
      <w:ind w:left="2982" w:hanging="357"/>
    </w:pPr>
  </w:style>
  <w:style w:type="paragraph" w:customStyle="1" w:styleId="DefinedTermBullet">
    <w:name w:val="Defined Term Bullet"/>
    <w:basedOn w:val="DefinedTermPara"/>
    <w:qFormat/>
    <w:rsid w:val="007656EA"/>
    <w:pPr>
      <w:numPr>
        <w:numId w:val="18"/>
      </w:numPr>
    </w:pPr>
  </w:style>
  <w:style w:type="paragraph" w:customStyle="1" w:styleId="DefinedTermNumber">
    <w:name w:val="Defined Term Number"/>
    <w:basedOn w:val="DefinedTermPara"/>
    <w:qFormat/>
    <w:rsid w:val="007656EA"/>
    <w:pPr>
      <w:numPr>
        <w:ilvl w:val="1"/>
      </w:numPr>
    </w:pPr>
  </w:style>
  <w:style w:type="paragraph" w:customStyle="1" w:styleId="AdditionalTitle">
    <w:name w:val="Additional Title"/>
    <w:basedOn w:val="Paragraph"/>
    <w:qFormat/>
    <w:rsid w:val="007656EA"/>
    <w:pPr>
      <w:jc w:val="left"/>
    </w:pPr>
    <w:rPr>
      <w:b/>
    </w:rPr>
  </w:style>
  <w:style w:type="character" w:customStyle="1" w:styleId="error">
    <w:name w:val="error"/>
    <w:basedOn w:val="DefaultParagraphFont"/>
    <w:rsid w:val="007656EA"/>
    <w:rPr>
      <w:color w:val="000000"/>
    </w:rPr>
  </w:style>
  <w:style w:type="paragraph" w:customStyle="1" w:styleId="NoNumUntitledsubclause1">
    <w:name w:val="No Num Untitled subclause 1"/>
    <w:basedOn w:val="Untitledsubclause1"/>
    <w:qFormat/>
    <w:rsid w:val="007656EA"/>
    <w:pPr>
      <w:ind w:left="720"/>
    </w:pPr>
  </w:style>
  <w:style w:type="paragraph" w:customStyle="1" w:styleId="BackgroundParaClause">
    <w:name w:val="Background Para Clause"/>
    <w:basedOn w:val="Background"/>
    <w:qFormat/>
    <w:rsid w:val="007656EA"/>
    <w:pPr>
      <w:numPr>
        <w:numId w:val="0"/>
      </w:numPr>
    </w:pPr>
  </w:style>
  <w:style w:type="paragraph" w:customStyle="1" w:styleId="BackgroundParaSubclause1">
    <w:name w:val="Background Para Subclause1"/>
    <w:basedOn w:val="BackgroundSubclause1"/>
    <w:qFormat/>
    <w:rsid w:val="007656EA"/>
    <w:pPr>
      <w:numPr>
        <w:ilvl w:val="0"/>
        <w:numId w:val="0"/>
      </w:numPr>
      <w:ind w:left="994"/>
    </w:pPr>
    <w:rPr>
      <w:lang w:val="en-US"/>
    </w:rPr>
  </w:style>
  <w:style w:type="paragraph" w:customStyle="1" w:styleId="BackgroundParaSubclause2">
    <w:name w:val="Background Para Subclause2"/>
    <w:basedOn w:val="BackgroundSubclause2"/>
    <w:qFormat/>
    <w:rsid w:val="007656EA"/>
    <w:pPr>
      <w:numPr>
        <w:ilvl w:val="0"/>
        <w:numId w:val="0"/>
      </w:numPr>
      <w:ind w:left="1701"/>
    </w:pPr>
    <w:rPr>
      <w:lang w:val="en-US"/>
    </w:rPr>
  </w:style>
  <w:style w:type="paragraph" w:customStyle="1" w:styleId="ClauseBulletPara">
    <w:name w:val="Clause Bullet Para"/>
    <w:basedOn w:val="ClauseBullet1"/>
    <w:qFormat/>
    <w:rsid w:val="007656EA"/>
    <w:pPr>
      <w:numPr>
        <w:numId w:val="0"/>
      </w:numPr>
      <w:ind w:left="1080"/>
    </w:pPr>
    <w:rPr>
      <w:lang w:val="en-US"/>
    </w:rPr>
  </w:style>
  <w:style w:type="paragraph" w:customStyle="1" w:styleId="ClauseBullet2Para">
    <w:name w:val="Clause Bullet 2 Para"/>
    <w:basedOn w:val="ClauseBullet2"/>
    <w:qFormat/>
    <w:rsid w:val="007656EA"/>
    <w:pPr>
      <w:numPr>
        <w:numId w:val="0"/>
      </w:numPr>
      <w:ind w:left="1440"/>
    </w:pPr>
    <w:rPr>
      <w:lang w:val="en-US"/>
    </w:rPr>
  </w:style>
  <w:style w:type="paragraph" w:customStyle="1" w:styleId="ACTJurisdictionCheckList">
    <w:name w:val="ACTJurisdictionCheckList"/>
    <w:basedOn w:val="Normal"/>
    <w:rsid w:val="007656EA"/>
    <w:pPr>
      <w:spacing w:line="300" w:lineRule="atLeast"/>
    </w:pPr>
    <w:rPr>
      <w:rFonts w:eastAsia="Arial Unicode MS" w:cs="Arial"/>
      <w:b/>
      <w:color w:val="000000"/>
      <w:sz w:val="28"/>
    </w:rPr>
  </w:style>
  <w:style w:type="paragraph" w:customStyle="1" w:styleId="JurisdictionDraftingnoteTitle">
    <w:name w:val="Jurisdiction Draftingnote Title"/>
    <w:basedOn w:val="DraftingnoteTitle"/>
    <w:qFormat/>
    <w:rsid w:val="007656EA"/>
  </w:style>
  <w:style w:type="paragraph" w:customStyle="1" w:styleId="ScheduleTitleClause">
    <w:name w:val="Schedule Title Clause"/>
    <w:basedOn w:val="Normal"/>
    <w:rsid w:val="007656EA"/>
    <w:pPr>
      <w:keepNext/>
      <w:numPr>
        <w:ilvl w:val="2"/>
        <w:numId w:val="19"/>
      </w:numPr>
      <w:spacing w:before="240" w:after="240" w:line="300" w:lineRule="atLeast"/>
      <w:jc w:val="both"/>
      <w:outlineLvl w:val="0"/>
    </w:pPr>
    <w:rPr>
      <w:rFonts w:eastAsia="Arial Unicode MS" w:cs="Arial"/>
      <w:b/>
      <w:color w:val="000000"/>
      <w:kern w:val="28"/>
    </w:rPr>
  </w:style>
  <w:style w:type="paragraph" w:customStyle="1" w:styleId="ScheduleUntitledsubclause1">
    <w:name w:val="Schedule Untitled subclause 1"/>
    <w:basedOn w:val="Normal"/>
    <w:rsid w:val="007656EA"/>
    <w:pPr>
      <w:numPr>
        <w:ilvl w:val="3"/>
        <w:numId w:val="19"/>
      </w:numPr>
      <w:spacing w:before="280" w:line="300" w:lineRule="atLeast"/>
      <w:jc w:val="both"/>
      <w:outlineLvl w:val="1"/>
    </w:pPr>
    <w:rPr>
      <w:rFonts w:eastAsia="Arial Unicode MS" w:cs="Arial"/>
      <w:color w:val="000000"/>
    </w:rPr>
  </w:style>
  <w:style w:type="paragraph" w:customStyle="1" w:styleId="ScheduleUntitledsubclause2">
    <w:name w:val="Schedule Untitled subclause 2"/>
    <w:basedOn w:val="Normal"/>
    <w:rsid w:val="007656EA"/>
    <w:pPr>
      <w:numPr>
        <w:ilvl w:val="4"/>
        <w:numId w:val="19"/>
      </w:numPr>
      <w:spacing w:line="300" w:lineRule="atLeast"/>
      <w:jc w:val="both"/>
      <w:outlineLvl w:val="2"/>
    </w:pPr>
    <w:rPr>
      <w:rFonts w:eastAsia="Arial Unicode MS" w:cs="Arial"/>
      <w:color w:val="000000"/>
    </w:rPr>
  </w:style>
  <w:style w:type="paragraph" w:customStyle="1" w:styleId="ScheduleUntitledsubclause3">
    <w:name w:val="Schedule Untitled subclause 3"/>
    <w:basedOn w:val="Normal"/>
    <w:rsid w:val="007656EA"/>
    <w:pPr>
      <w:numPr>
        <w:ilvl w:val="5"/>
        <w:numId w:val="19"/>
      </w:numPr>
      <w:tabs>
        <w:tab w:val="left" w:pos="2261"/>
      </w:tabs>
      <w:spacing w:line="300" w:lineRule="atLeast"/>
      <w:jc w:val="both"/>
      <w:outlineLvl w:val="3"/>
    </w:pPr>
    <w:rPr>
      <w:rFonts w:eastAsia="Arial Unicode MS" w:cs="Arial"/>
      <w:color w:val="000000"/>
    </w:rPr>
  </w:style>
  <w:style w:type="paragraph" w:customStyle="1" w:styleId="ScheduleUntitledsubclause4">
    <w:name w:val="Schedule Untitled subclause 4"/>
    <w:basedOn w:val="Normal"/>
    <w:rsid w:val="007656EA"/>
    <w:pPr>
      <w:spacing w:line="300" w:lineRule="atLeast"/>
      <w:jc w:val="both"/>
      <w:outlineLvl w:val="4"/>
    </w:pPr>
    <w:rPr>
      <w:rFonts w:eastAsia="Arial Unicode MS" w:cs="Arial"/>
      <w:color w:val="000000"/>
    </w:rPr>
  </w:style>
  <w:style w:type="paragraph" w:customStyle="1" w:styleId="BulletListPattern1">
    <w:name w:val="Bullet List Pattern 1"/>
    <w:basedOn w:val="BulletList1"/>
    <w:qFormat/>
    <w:rsid w:val="007656EA"/>
    <w:pPr>
      <w:shd w:val="clear" w:color="auto" w:fill="D9D9D9" w:themeFill="background1" w:themeFillShade="D9"/>
      <w:spacing w:after="120" w:line="240" w:lineRule="auto"/>
      <w:ind w:left="714" w:hanging="357"/>
    </w:pPr>
  </w:style>
  <w:style w:type="paragraph" w:customStyle="1" w:styleId="BulletListPattern2">
    <w:name w:val="Bullet List Pattern 2"/>
    <w:basedOn w:val="BulletList2"/>
    <w:qFormat/>
    <w:rsid w:val="007656EA"/>
    <w:pPr>
      <w:shd w:val="clear" w:color="auto" w:fill="D9D9D9" w:themeFill="background1" w:themeFillShade="D9"/>
      <w:ind w:left="1077"/>
    </w:pPr>
    <w:rPr>
      <w:color w:val="000000"/>
    </w:rPr>
  </w:style>
  <w:style w:type="paragraph" w:customStyle="1" w:styleId="ScheduleUntitledClause">
    <w:name w:val="Schedule Untitled Clause"/>
    <w:basedOn w:val="ScheduleTitleClause"/>
    <w:qFormat/>
    <w:rsid w:val="007656EA"/>
    <w:pPr>
      <w:spacing w:before="120"/>
    </w:pPr>
    <w:rPr>
      <w:b w:val="0"/>
    </w:rPr>
  </w:style>
  <w:style w:type="paragraph" w:customStyle="1" w:styleId="EmptyClausePara">
    <w:name w:val="Empty Clause Para"/>
    <w:basedOn w:val="IgnoredSpacing"/>
    <w:qFormat/>
    <w:rsid w:val="007656EA"/>
  </w:style>
  <w:style w:type="paragraph" w:styleId="ListParagraph">
    <w:name w:val="List Paragraph"/>
    <w:basedOn w:val="Normal"/>
    <w:link w:val="ListParagraphChar"/>
    <w:uiPriority w:val="34"/>
    <w:qFormat/>
    <w:rsid w:val="007656EA"/>
    <w:pPr>
      <w:ind w:left="720"/>
      <w:contextualSpacing/>
    </w:pPr>
    <w:rPr>
      <w:color w:val="000000"/>
    </w:rPr>
  </w:style>
  <w:style w:type="paragraph" w:customStyle="1" w:styleId="ScheduleTitlesubclause1">
    <w:name w:val="Schedule Title subclause1"/>
    <w:basedOn w:val="ScheduleUntitledsubclause1"/>
    <w:qFormat/>
    <w:rsid w:val="007656EA"/>
    <w:pPr>
      <w:spacing w:before="120"/>
    </w:pPr>
    <w:rPr>
      <w:b/>
    </w:rPr>
  </w:style>
  <w:style w:type="paragraph" w:customStyle="1" w:styleId="835FF0B0D5344FE4A8EE41F54AA7E17C16">
    <w:name w:val="835FF0B0D5344FE4A8EE41F54AA7E17C16"/>
    <w:rsid w:val="00A200E2"/>
    <w:pPr>
      <w:spacing w:after="120" w:line="240" w:lineRule="auto"/>
    </w:pPr>
    <w:rPr>
      <w:rFonts w:ascii="Arial" w:eastAsia="Times New Roman" w:hAnsi="Arial" w:cs="Times New Roman"/>
      <w:color w:val="000000"/>
      <w:sz w:val="24"/>
      <w:szCs w:val="24"/>
      <w:lang w:val="en-US" w:eastAsia="en-US"/>
    </w:rPr>
  </w:style>
  <w:style w:type="character" w:customStyle="1" w:styleId="UnresolvedMention1">
    <w:name w:val="Unresolved Mention1"/>
    <w:basedOn w:val="DefaultParagraphFont"/>
    <w:uiPriority w:val="99"/>
    <w:semiHidden/>
    <w:unhideWhenUsed/>
    <w:rsid w:val="0004392C"/>
    <w:rPr>
      <w:color w:val="000000"/>
      <w:shd w:val="clear" w:color="auto" w:fill="E6E6E6"/>
    </w:rPr>
  </w:style>
  <w:style w:type="paragraph" w:customStyle="1" w:styleId="SectorSpecificNoteTitle">
    <w:name w:val="Sector Specific Note Title"/>
    <w:basedOn w:val="JurisdictionDraftingnoteTitle"/>
    <w:qFormat/>
    <w:rsid w:val="007656EA"/>
  </w:style>
  <w:style w:type="table" w:customStyle="1" w:styleId="ShadedTable1">
    <w:name w:val="Shaded Table1"/>
    <w:basedOn w:val="TableNormal"/>
    <w:uiPriority w:val="99"/>
    <w:rsid w:val="007656EA"/>
    <w:pPr>
      <w:spacing w:after="0" w:line="240" w:lineRule="auto"/>
    </w:pPr>
    <w:rPr>
      <w:color w:val="000000"/>
    </w:rPr>
    <w:tblPr>
      <w:tblBorders>
        <w:top w:val="single" w:sz="4" w:space="0" w:color="auto"/>
        <w:left w:val="single" w:sz="4" w:space="0" w:color="auto"/>
        <w:bottom w:val="single" w:sz="4" w:space="0" w:color="auto"/>
        <w:right w:val="single" w:sz="4" w:space="0" w:color="auto"/>
      </w:tblBorders>
    </w:tblPr>
    <w:tcPr>
      <w:shd w:val="clear" w:color="auto" w:fill="EEECE1" w:themeFill="background2"/>
    </w:tcPr>
  </w:style>
  <w:style w:type="paragraph" w:customStyle="1" w:styleId="IgnoredEmptysubclause">
    <w:name w:val="Ignored Empty subclause"/>
    <w:basedOn w:val="Normal"/>
    <w:link w:val="IgnoredEmptysubclauseChar"/>
    <w:qFormat/>
    <w:rsid w:val="007656EA"/>
    <w:rPr>
      <w:color w:val="000000"/>
    </w:rPr>
  </w:style>
  <w:style w:type="character" w:customStyle="1" w:styleId="IgnoredEmptysubclauseChar">
    <w:name w:val="Ignored Empty subclause Char"/>
    <w:basedOn w:val="DefaultParagraphFont"/>
    <w:link w:val="IgnoredEmptysubclause"/>
    <w:rsid w:val="007656EA"/>
    <w:rPr>
      <w:color w:val="000000"/>
    </w:rPr>
  </w:style>
  <w:style w:type="character" w:styleId="CommentReference">
    <w:name w:val="annotation reference"/>
    <w:rsid w:val="0052640A"/>
    <w:rPr>
      <w:rFonts w:ascii="Calibri" w:hAnsi="Calibri"/>
      <w:color w:val="000000"/>
      <w:sz w:val="16"/>
    </w:rPr>
  </w:style>
  <w:style w:type="paragraph" w:styleId="CommentText">
    <w:name w:val="annotation text"/>
    <w:basedOn w:val="Normal"/>
    <w:link w:val="CommentTextChar"/>
    <w:uiPriority w:val="99"/>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color w:val="000000"/>
    </w:rPr>
  </w:style>
  <w:style w:type="character" w:customStyle="1" w:styleId="CommentTextChar">
    <w:name w:val="Comment Text Char"/>
    <w:basedOn w:val="DefaultParagraphFont"/>
    <w:link w:val="CommentText"/>
    <w:uiPriority w:val="99"/>
    <w:rsid w:val="0052640A"/>
    <w:rPr>
      <w:rFonts w:ascii="Arial" w:eastAsiaTheme="minorHAnsi" w:hAnsi="Arial"/>
      <w:color w:val="000000"/>
      <w:kern w:val="2"/>
      <w:sz w:val="20"/>
      <w:szCs w:val="20"/>
      <w:lang w:eastAsia="en-US"/>
      <w14:ligatures w14:val="standardContextual"/>
    </w:rPr>
  </w:style>
  <w:style w:type="paragraph" w:customStyle="1" w:styleId="6B1115FCC3DC4C6AB2CF846F0C50B663">
    <w:name w:val="6B1115FCC3DC4C6AB2CF846F0C50B663"/>
    <w:rsid w:val="00D4114D"/>
    <w:pPr>
      <w:spacing w:line="276" w:lineRule="auto"/>
    </w:pPr>
    <w:rPr>
      <w:color w:val="000000"/>
    </w:rPr>
  </w:style>
  <w:style w:type="paragraph" w:styleId="CommentSubject">
    <w:name w:val="annotation subject"/>
    <w:basedOn w:val="CommentText"/>
    <w:next w:val="CommentText"/>
    <w:link w:val="CommentSubjectChar"/>
    <w:semiHidden/>
    <w:rsid w:val="0052640A"/>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spacing w:line="240" w:lineRule="auto"/>
    </w:pPr>
    <w:rPr>
      <w:b/>
      <w:bCs/>
    </w:rPr>
  </w:style>
  <w:style w:type="character" w:customStyle="1" w:styleId="CommentSubjectChar">
    <w:name w:val="Comment Subject Char"/>
    <w:basedOn w:val="CommentTextChar"/>
    <w:link w:val="CommentSubject"/>
    <w:semiHidden/>
    <w:rsid w:val="0052640A"/>
    <w:rPr>
      <w:rFonts w:ascii="Arial" w:eastAsiaTheme="minorHAnsi" w:hAnsi="Arial"/>
      <w:b/>
      <w:bCs/>
      <w:color w:val="000000"/>
      <w:kern w:val="2"/>
      <w:sz w:val="20"/>
      <w:szCs w:val="20"/>
      <w:lang w:eastAsia="en-US"/>
      <w14:ligatures w14:val="standardContextual"/>
    </w:rPr>
  </w:style>
  <w:style w:type="numbering" w:customStyle="1" w:styleId="ScheduleListStyle">
    <w:name w:val="ScheduleListStyle"/>
    <w:pPr>
      <w:numPr>
        <w:numId w:val="22"/>
      </w:numPr>
    </w:pPr>
  </w:style>
  <w:style w:type="paragraph" w:styleId="TOC1">
    <w:name w:val="toc 1"/>
    <w:basedOn w:val="Normal"/>
    <w:next w:val="Normal"/>
    <w:uiPriority w:val="39"/>
    <w:rsid w:val="0052640A"/>
    <w:pPr>
      <w:tabs>
        <w:tab w:val="right" w:leader="dot" w:pos="8784"/>
      </w:tabs>
      <w:spacing w:before="60" w:after="60"/>
      <w:ind w:left="1440" w:hanging="720"/>
      <w:contextualSpacing/>
    </w:pPr>
    <w:rPr>
      <w:noProof/>
    </w:rPr>
  </w:style>
  <w:style w:type="paragraph" w:customStyle="1" w:styleId="CVCoversheetContact">
    <w:name w:val="CV_Coversheet_Contact"/>
    <w:basedOn w:val="Normal"/>
    <w:semiHidden/>
    <w:rsid w:val="0052640A"/>
    <w:pPr>
      <w:spacing w:after="0"/>
    </w:pPr>
  </w:style>
  <w:style w:type="paragraph" w:customStyle="1" w:styleId="Tenderbiogcontact">
    <w:name w:val="Tender biog contact"/>
    <w:basedOn w:val="Normal"/>
    <w:next w:val="Tenderbiogtext"/>
    <w:semiHidden/>
    <w:rsid w:val="0052640A"/>
    <w:pPr>
      <w:tabs>
        <w:tab w:val="left" w:pos="2880"/>
      </w:tabs>
    </w:pPr>
    <w:rPr>
      <w:b/>
    </w:rPr>
  </w:style>
  <w:style w:type="paragraph" w:customStyle="1" w:styleId="Handouttitlesmalllogo">
    <w:name w:val="Handout title small logo"/>
    <w:basedOn w:val="Normal"/>
    <w:semiHidden/>
    <w:rsid w:val="0052640A"/>
    <w:pPr>
      <w:spacing w:before="140"/>
    </w:pPr>
    <w:rPr>
      <w:b/>
      <w:color w:val="C0C0C0"/>
      <w:sz w:val="34"/>
    </w:rPr>
  </w:style>
  <w:style w:type="paragraph" w:customStyle="1" w:styleId="Definition3">
    <w:name w:val="Definition 3"/>
    <w:basedOn w:val="BodyText"/>
    <w:rsid w:val="0052640A"/>
    <w:pPr>
      <w:numPr>
        <w:ilvl w:val="3"/>
        <w:numId w:val="23"/>
      </w:numPr>
    </w:pPr>
  </w:style>
  <w:style w:type="paragraph" w:styleId="BodyText">
    <w:name w:val="Body Text"/>
    <w:basedOn w:val="Normal"/>
    <w:link w:val="BodyTextChar"/>
    <w:autoRedefine/>
    <w:qFormat/>
    <w:rsid w:val="0052640A"/>
  </w:style>
  <w:style w:type="character" w:customStyle="1" w:styleId="BodyTextChar">
    <w:name w:val="Body Text Char"/>
    <w:basedOn w:val="DefaultParagraphFont"/>
    <w:link w:val="BodyText"/>
    <w:rsid w:val="0052640A"/>
    <w:rPr>
      <w:rFonts w:ascii="Arial" w:eastAsiaTheme="minorHAnsi" w:hAnsi="Arial"/>
      <w:kern w:val="2"/>
      <w:sz w:val="20"/>
      <w:szCs w:val="20"/>
      <w:lang w:eastAsia="en-US"/>
      <w14:ligatures w14:val="standardContextual"/>
    </w:rPr>
  </w:style>
  <w:style w:type="paragraph" w:customStyle="1" w:styleId="Sch1Heading">
    <w:name w:val="Sch 1 Heading"/>
    <w:basedOn w:val="BodyText"/>
    <w:next w:val="Sch2Number"/>
    <w:qFormat/>
    <w:rsid w:val="0052640A"/>
    <w:pPr>
      <w:keepNext/>
      <w:numPr>
        <w:ilvl w:val="3"/>
        <w:numId w:val="24"/>
      </w:numPr>
    </w:pPr>
    <w:rPr>
      <w:b/>
    </w:rPr>
  </w:style>
  <w:style w:type="paragraph" w:customStyle="1" w:styleId="Sch2Number">
    <w:name w:val="Sch 2 Number"/>
    <w:basedOn w:val="BodyText"/>
    <w:qFormat/>
    <w:rsid w:val="0052640A"/>
    <w:pPr>
      <w:numPr>
        <w:ilvl w:val="4"/>
        <w:numId w:val="24"/>
      </w:numPr>
    </w:pPr>
  </w:style>
  <w:style w:type="paragraph" w:customStyle="1" w:styleId="Sch3Number">
    <w:name w:val="Sch 3 Number"/>
    <w:basedOn w:val="BodyText"/>
    <w:qFormat/>
    <w:rsid w:val="0052640A"/>
    <w:pPr>
      <w:numPr>
        <w:ilvl w:val="5"/>
        <w:numId w:val="24"/>
      </w:numPr>
    </w:pPr>
  </w:style>
  <w:style w:type="paragraph" w:customStyle="1" w:styleId="Sch4Number">
    <w:name w:val="Sch 4 Number"/>
    <w:basedOn w:val="BodyText"/>
    <w:qFormat/>
    <w:rsid w:val="0052640A"/>
    <w:pPr>
      <w:numPr>
        <w:ilvl w:val="6"/>
        <w:numId w:val="24"/>
      </w:numPr>
    </w:pPr>
  </w:style>
  <w:style w:type="paragraph" w:customStyle="1" w:styleId="Parties1">
    <w:name w:val="Parties 1"/>
    <w:basedOn w:val="BodyText"/>
    <w:rsid w:val="0052640A"/>
    <w:pPr>
      <w:numPr>
        <w:numId w:val="25"/>
      </w:numPr>
    </w:pPr>
    <w:rPr>
      <w:b/>
    </w:rPr>
  </w:style>
  <w:style w:type="character" w:customStyle="1" w:styleId="Def">
    <w:name w:val="Def"/>
    <w:semiHidden/>
    <w:rsid w:val="0052640A"/>
    <w:rPr>
      <w:b/>
      <w:color w:val="auto"/>
    </w:rPr>
  </w:style>
  <w:style w:type="paragraph" w:customStyle="1" w:styleId="XExecution">
    <w:name w:val="X Execution"/>
    <w:basedOn w:val="Normal"/>
    <w:semiHidden/>
    <w:rsid w:val="0052640A"/>
    <w:pPr>
      <w:tabs>
        <w:tab w:val="left" w:pos="0"/>
        <w:tab w:val="left" w:pos="3544"/>
      </w:tabs>
      <w:ind w:right="459"/>
    </w:pPr>
  </w:style>
  <w:style w:type="paragraph" w:customStyle="1" w:styleId="Comments">
    <w:name w:val="Comments"/>
    <w:basedOn w:val="Normal"/>
    <w:semiHidden/>
    <w:rsid w:val="0052640A"/>
    <w:pPr>
      <w:ind w:left="284"/>
    </w:pPr>
    <w:rPr>
      <w:i/>
    </w:rPr>
  </w:style>
  <w:style w:type="paragraph" w:customStyle="1" w:styleId="NewPage">
    <w:name w:val="New Page"/>
    <w:basedOn w:val="Normal"/>
    <w:semiHidden/>
    <w:rsid w:val="0052640A"/>
    <w:pPr>
      <w:pageBreakBefore/>
    </w:pPr>
  </w:style>
  <w:style w:type="paragraph" w:customStyle="1" w:styleId="FrontInformation">
    <w:name w:val="FrontInformation"/>
    <w:autoRedefine/>
    <w:semiHidden/>
    <w:rsid w:val="0052640A"/>
    <w:pPr>
      <w:spacing w:after="240" w:line="360" w:lineRule="auto"/>
    </w:pPr>
    <w:rPr>
      <w:rFonts w:ascii="Calibri" w:eastAsiaTheme="minorHAnsi" w:hAnsi="Calibri"/>
      <w:color w:val="000000"/>
      <w:kern w:val="2"/>
      <w:sz w:val="20"/>
      <w:szCs w:val="20"/>
      <w:lang w:eastAsia="en-US"/>
      <w14:ligatures w14:val="standardContextual"/>
    </w:rPr>
  </w:style>
  <w:style w:type="character" w:customStyle="1" w:styleId="defitem">
    <w:name w:val="defitem"/>
    <w:semiHidden/>
    <w:rsid w:val="0052640A"/>
    <w:rPr>
      <w:color w:val="auto"/>
    </w:rPr>
  </w:style>
  <w:style w:type="character" w:customStyle="1" w:styleId="smallcaps">
    <w:name w:val="smallcaps"/>
    <w:semiHidden/>
    <w:rsid w:val="0052640A"/>
    <w:rPr>
      <w:b/>
      <w:smallCaps/>
    </w:rPr>
  </w:style>
  <w:style w:type="paragraph" w:customStyle="1" w:styleId="Sch1Number">
    <w:name w:val="Sch 1 Number"/>
    <w:basedOn w:val="Sch1Heading"/>
    <w:qFormat/>
    <w:rsid w:val="0052640A"/>
    <w:pPr>
      <w:keepNext w:val="0"/>
    </w:pPr>
  </w:style>
  <w:style w:type="paragraph" w:customStyle="1" w:styleId="Sch2Heading">
    <w:name w:val="Sch 2 Heading"/>
    <w:basedOn w:val="Sch2Number"/>
    <w:next w:val="Sch3Number"/>
    <w:qFormat/>
    <w:rsid w:val="0052640A"/>
    <w:pPr>
      <w:keepNext/>
    </w:pPr>
  </w:style>
  <w:style w:type="paragraph" w:customStyle="1" w:styleId="Appendix">
    <w:name w:val="Appendix"/>
    <w:basedOn w:val="BodyText"/>
    <w:next w:val="BodyText"/>
    <w:qFormat/>
    <w:rsid w:val="0052640A"/>
    <w:pPr>
      <w:numPr>
        <w:numId w:val="26"/>
      </w:numPr>
    </w:pPr>
    <w:rPr>
      <w:b/>
    </w:rPr>
  </w:style>
  <w:style w:type="paragraph" w:customStyle="1" w:styleId="SubSchedule">
    <w:name w:val="Sub Schedule"/>
    <w:basedOn w:val="BodyText"/>
    <w:next w:val="BodyText"/>
    <w:rsid w:val="0052640A"/>
    <w:pPr>
      <w:numPr>
        <w:ilvl w:val="1"/>
        <w:numId w:val="24"/>
      </w:numPr>
    </w:pPr>
    <w:rPr>
      <w:b/>
    </w:rPr>
  </w:style>
  <w:style w:type="paragraph" w:customStyle="1" w:styleId="HeadingTitle">
    <w:name w:val="HeadingTitle"/>
    <w:basedOn w:val="Normal"/>
    <w:semiHidden/>
    <w:rsid w:val="0052640A"/>
    <w:pPr>
      <w:contextualSpacing/>
    </w:pPr>
    <w:rPr>
      <w:b/>
    </w:rPr>
  </w:style>
  <w:style w:type="paragraph" w:customStyle="1" w:styleId="NormalSpaced">
    <w:name w:val="NormalSpaced"/>
    <w:basedOn w:val="Normal"/>
    <w:next w:val="Normal"/>
    <w:semiHidden/>
    <w:rsid w:val="0052640A"/>
  </w:style>
  <w:style w:type="paragraph" w:customStyle="1" w:styleId="Bullet">
    <w:name w:val="Bullet"/>
    <w:basedOn w:val="Normal"/>
    <w:semiHidden/>
    <w:rsid w:val="0052640A"/>
    <w:pPr>
      <w:numPr>
        <w:numId w:val="27"/>
      </w:numPr>
    </w:pPr>
  </w:style>
  <w:style w:type="paragraph" w:customStyle="1" w:styleId="NormalCell">
    <w:name w:val="NormalCell"/>
    <w:basedOn w:val="Normal"/>
    <w:semiHidden/>
    <w:rsid w:val="0052640A"/>
  </w:style>
  <w:style w:type="paragraph" w:customStyle="1" w:styleId="NormalSmall">
    <w:name w:val="NormalSmall"/>
    <w:basedOn w:val="NormalCell"/>
    <w:semiHidden/>
    <w:rsid w:val="0052640A"/>
    <w:rPr>
      <w:sz w:val="16"/>
    </w:rPr>
  </w:style>
  <w:style w:type="paragraph" w:customStyle="1" w:styleId="BulletSmall">
    <w:name w:val="Bullet Small"/>
    <w:basedOn w:val="Bullet"/>
    <w:semiHidden/>
    <w:rsid w:val="0052640A"/>
    <w:pPr>
      <w:numPr>
        <w:numId w:val="0"/>
      </w:numPr>
    </w:pPr>
    <w:rPr>
      <w:sz w:val="16"/>
    </w:rPr>
  </w:style>
  <w:style w:type="paragraph" w:customStyle="1" w:styleId="Headlinedivider">
    <w:name w:val="Headline divider"/>
    <w:basedOn w:val="Normal"/>
    <w:semiHidden/>
    <w:rsid w:val="0052640A"/>
    <w:pPr>
      <w:pBdr>
        <w:bottom w:val="single" w:sz="6" w:space="1" w:color="auto"/>
      </w:pBdr>
    </w:pPr>
  </w:style>
  <w:style w:type="paragraph" w:customStyle="1" w:styleId="VWVVATnumber">
    <w:name w:val="VWV VAT number"/>
    <w:basedOn w:val="VWVourreferences"/>
    <w:semiHidden/>
    <w:rsid w:val="0052640A"/>
  </w:style>
  <w:style w:type="paragraph" w:customStyle="1" w:styleId="Definition1">
    <w:name w:val="Definition 1"/>
    <w:basedOn w:val="BodyText"/>
    <w:rsid w:val="0052640A"/>
    <w:pPr>
      <w:numPr>
        <w:ilvl w:val="1"/>
        <w:numId w:val="23"/>
      </w:numPr>
    </w:pPr>
  </w:style>
  <w:style w:type="paragraph" w:customStyle="1" w:styleId="Parties2">
    <w:name w:val="Parties 2"/>
    <w:basedOn w:val="BodyText"/>
    <w:rsid w:val="0052640A"/>
    <w:pPr>
      <w:numPr>
        <w:ilvl w:val="1"/>
        <w:numId w:val="25"/>
      </w:numPr>
    </w:pPr>
  </w:style>
  <w:style w:type="character" w:customStyle="1" w:styleId="intro">
    <w:name w:val="intro"/>
    <w:semiHidden/>
    <w:rsid w:val="0052640A"/>
    <w:rPr>
      <w:b/>
      <w:sz w:val="24"/>
    </w:rPr>
  </w:style>
  <w:style w:type="paragraph" w:customStyle="1" w:styleId="Definition2">
    <w:name w:val="Definition 2"/>
    <w:basedOn w:val="BodyText"/>
    <w:rsid w:val="0052640A"/>
    <w:pPr>
      <w:numPr>
        <w:ilvl w:val="2"/>
        <w:numId w:val="23"/>
      </w:numPr>
    </w:pPr>
  </w:style>
  <w:style w:type="paragraph" w:customStyle="1" w:styleId="Level1Heading">
    <w:name w:val="Level 1 Heading"/>
    <w:basedOn w:val="BodyText"/>
    <w:next w:val="Level2Number"/>
    <w:qFormat/>
    <w:rsid w:val="0052640A"/>
    <w:pPr>
      <w:keepNext/>
      <w:numPr>
        <w:numId w:val="28"/>
      </w:numPr>
      <w:outlineLvl w:val="0"/>
    </w:pPr>
    <w:rPr>
      <w:b/>
    </w:rPr>
  </w:style>
  <w:style w:type="paragraph" w:customStyle="1" w:styleId="Level2Number">
    <w:name w:val="Level 2 Number"/>
    <w:basedOn w:val="BodyText"/>
    <w:qFormat/>
    <w:rsid w:val="0052640A"/>
    <w:pPr>
      <w:numPr>
        <w:ilvl w:val="1"/>
        <w:numId w:val="28"/>
      </w:numPr>
    </w:pPr>
  </w:style>
  <w:style w:type="paragraph" w:customStyle="1" w:styleId="Level3Number">
    <w:name w:val="Level 3 Number"/>
    <w:basedOn w:val="BodyText"/>
    <w:qFormat/>
    <w:rsid w:val="0052640A"/>
    <w:pPr>
      <w:numPr>
        <w:ilvl w:val="2"/>
        <w:numId w:val="28"/>
      </w:numPr>
    </w:pPr>
  </w:style>
  <w:style w:type="paragraph" w:customStyle="1" w:styleId="Level4Number">
    <w:name w:val="Level 4 Number"/>
    <w:basedOn w:val="BodyText"/>
    <w:qFormat/>
    <w:rsid w:val="0052640A"/>
    <w:pPr>
      <w:numPr>
        <w:ilvl w:val="3"/>
        <w:numId w:val="28"/>
      </w:numPr>
    </w:pPr>
  </w:style>
  <w:style w:type="paragraph" w:customStyle="1" w:styleId="Level5Number">
    <w:name w:val="Level 5 Number"/>
    <w:basedOn w:val="BodyText"/>
    <w:rsid w:val="0052640A"/>
    <w:pPr>
      <w:numPr>
        <w:ilvl w:val="4"/>
        <w:numId w:val="28"/>
      </w:numPr>
    </w:pPr>
  </w:style>
  <w:style w:type="paragraph" w:customStyle="1" w:styleId="Level6Number">
    <w:name w:val="Level 6 Number"/>
    <w:basedOn w:val="BodyText"/>
    <w:qFormat/>
    <w:rsid w:val="0052640A"/>
    <w:pPr>
      <w:numPr>
        <w:ilvl w:val="5"/>
        <w:numId w:val="28"/>
      </w:numPr>
    </w:pPr>
  </w:style>
  <w:style w:type="paragraph" w:customStyle="1" w:styleId="Level7Number">
    <w:name w:val="Level 7 Number"/>
    <w:basedOn w:val="BodyText"/>
    <w:qFormat/>
    <w:rsid w:val="0052640A"/>
    <w:pPr>
      <w:numPr>
        <w:ilvl w:val="6"/>
        <w:numId w:val="28"/>
      </w:numPr>
    </w:pPr>
  </w:style>
  <w:style w:type="paragraph" w:customStyle="1" w:styleId="Level1Number">
    <w:name w:val="Level 1 Number"/>
    <w:basedOn w:val="Level1Heading"/>
    <w:qFormat/>
    <w:rsid w:val="0052640A"/>
    <w:pPr>
      <w:keepNext w:val="0"/>
    </w:pPr>
  </w:style>
  <w:style w:type="paragraph" w:customStyle="1" w:styleId="Level2Heading">
    <w:name w:val="Level 2 Heading"/>
    <w:basedOn w:val="Level2Number"/>
    <w:next w:val="Level3Number"/>
    <w:qFormat/>
    <w:rsid w:val="0052640A"/>
    <w:pPr>
      <w:keepNext/>
    </w:pPr>
  </w:style>
  <w:style w:type="paragraph" w:customStyle="1" w:styleId="Level3Heading">
    <w:name w:val="Level 3 Heading"/>
    <w:basedOn w:val="Level3Number"/>
    <w:next w:val="Level4Number"/>
    <w:qFormat/>
    <w:rsid w:val="0052640A"/>
    <w:pPr>
      <w:keepNext/>
    </w:pPr>
  </w:style>
  <w:style w:type="paragraph" w:customStyle="1" w:styleId="Level4Heading">
    <w:name w:val="Level 4 Heading"/>
    <w:basedOn w:val="Level4Number"/>
    <w:next w:val="Level5Number"/>
    <w:qFormat/>
    <w:rsid w:val="0052640A"/>
    <w:pPr>
      <w:keepNext/>
    </w:pPr>
  </w:style>
  <w:style w:type="paragraph" w:customStyle="1" w:styleId="Sch5Number">
    <w:name w:val="Sch 5 Number"/>
    <w:basedOn w:val="BodyText"/>
    <w:qFormat/>
    <w:rsid w:val="0052640A"/>
    <w:pPr>
      <w:numPr>
        <w:ilvl w:val="7"/>
        <w:numId w:val="24"/>
      </w:numPr>
    </w:pPr>
  </w:style>
  <w:style w:type="paragraph" w:customStyle="1" w:styleId="Sch6Number">
    <w:name w:val="Sch 6 Number"/>
    <w:basedOn w:val="BodyText"/>
    <w:qFormat/>
    <w:rsid w:val="0052640A"/>
    <w:pPr>
      <w:numPr>
        <w:ilvl w:val="8"/>
        <w:numId w:val="24"/>
      </w:numPr>
    </w:pPr>
  </w:style>
  <w:style w:type="paragraph" w:customStyle="1" w:styleId="Sch3Heading">
    <w:name w:val="Sch 3 Heading"/>
    <w:basedOn w:val="Sch3Number"/>
    <w:next w:val="Sch4Number"/>
    <w:qFormat/>
    <w:rsid w:val="0052640A"/>
    <w:pPr>
      <w:keepNext/>
    </w:pPr>
  </w:style>
  <w:style w:type="paragraph" w:customStyle="1" w:styleId="Sch4Heading">
    <w:name w:val="Sch 4 Heading"/>
    <w:basedOn w:val="Sch4Number"/>
    <w:next w:val="Sch5Number"/>
    <w:qFormat/>
    <w:rsid w:val="0052640A"/>
    <w:pPr>
      <w:keepNext/>
    </w:pPr>
  </w:style>
  <w:style w:type="paragraph" w:customStyle="1" w:styleId="Independentlista">
    <w:name w:val="Independent list (a)"/>
    <w:basedOn w:val="Normal"/>
    <w:qFormat/>
    <w:rsid w:val="0052640A"/>
    <w:pPr>
      <w:numPr>
        <w:numId w:val="29"/>
      </w:numPr>
    </w:pPr>
  </w:style>
  <w:style w:type="paragraph" w:customStyle="1" w:styleId="OfficeLevel1">
    <w:name w:val="Office Level 1"/>
    <w:basedOn w:val="Normal"/>
    <w:qFormat/>
    <w:rsid w:val="0052640A"/>
    <w:pPr>
      <w:numPr>
        <w:numId w:val="30"/>
      </w:numPr>
    </w:pPr>
    <w:rPr>
      <w:b/>
    </w:rPr>
  </w:style>
  <w:style w:type="paragraph" w:customStyle="1" w:styleId="OfficeLevel2">
    <w:name w:val="Office Level 2"/>
    <w:basedOn w:val="OfficeLevel1"/>
    <w:qFormat/>
    <w:rsid w:val="0052640A"/>
    <w:pPr>
      <w:numPr>
        <w:ilvl w:val="1"/>
      </w:numPr>
    </w:pPr>
    <w:rPr>
      <w:b w:val="0"/>
      <w:sz w:val="20"/>
      <w:szCs w:val="20"/>
    </w:rPr>
  </w:style>
  <w:style w:type="paragraph" w:customStyle="1" w:styleId="OfficeLevel3">
    <w:name w:val="Office Level 3"/>
    <w:basedOn w:val="OfficeLevel2"/>
    <w:qFormat/>
    <w:rsid w:val="0052640A"/>
    <w:pPr>
      <w:numPr>
        <w:ilvl w:val="2"/>
      </w:numPr>
    </w:pPr>
  </w:style>
  <w:style w:type="paragraph" w:customStyle="1" w:styleId="OfficeLevel4">
    <w:name w:val="Office Level 4"/>
    <w:basedOn w:val="OfficeLevel3"/>
    <w:qFormat/>
    <w:rsid w:val="0052640A"/>
    <w:pPr>
      <w:numPr>
        <w:ilvl w:val="3"/>
      </w:numPr>
    </w:pPr>
  </w:style>
  <w:style w:type="paragraph" w:customStyle="1" w:styleId="OfficeLevel5">
    <w:name w:val="Office Level 5"/>
    <w:basedOn w:val="OfficeLevel4"/>
    <w:qFormat/>
    <w:rsid w:val="0052640A"/>
    <w:pPr>
      <w:numPr>
        <w:ilvl w:val="4"/>
      </w:numPr>
      <w:tabs>
        <w:tab w:val="clear" w:pos="3600"/>
        <w:tab w:val="num" w:pos="2835"/>
      </w:tabs>
    </w:pPr>
  </w:style>
  <w:style w:type="paragraph" w:customStyle="1" w:styleId="TableHeading">
    <w:name w:val="Table Heading"/>
    <w:basedOn w:val="Normal"/>
    <w:next w:val="Normal"/>
    <w:rsid w:val="0052640A"/>
    <w:rPr>
      <w:b/>
    </w:rPr>
  </w:style>
  <w:style w:type="paragraph" w:customStyle="1" w:styleId="TableBullet">
    <w:name w:val="Table Bullet"/>
    <w:basedOn w:val="Normal"/>
    <w:rsid w:val="0052640A"/>
    <w:pPr>
      <w:numPr>
        <w:numId w:val="31"/>
      </w:numPr>
    </w:pPr>
  </w:style>
  <w:style w:type="paragraph" w:customStyle="1" w:styleId="TableBullet2">
    <w:name w:val="Table Bullet 2"/>
    <w:basedOn w:val="TableBullet"/>
    <w:rsid w:val="0052640A"/>
    <w:pPr>
      <w:numPr>
        <w:numId w:val="32"/>
      </w:numPr>
    </w:pPr>
  </w:style>
  <w:style w:type="paragraph" w:customStyle="1" w:styleId="CVBullet">
    <w:name w:val="CV_Bullet"/>
    <w:basedOn w:val="Normal"/>
    <w:semiHidden/>
    <w:rsid w:val="0052640A"/>
    <w:pPr>
      <w:keepLines/>
      <w:numPr>
        <w:numId w:val="33"/>
      </w:numPr>
      <w:overflowPunct w:val="0"/>
      <w:autoSpaceDE w:val="0"/>
      <w:autoSpaceDN w:val="0"/>
      <w:adjustRightInd w:val="0"/>
      <w:textAlignment w:val="baseline"/>
    </w:pPr>
  </w:style>
  <w:style w:type="paragraph" w:customStyle="1" w:styleId="CVBullet2">
    <w:name w:val="CV_Bullet2"/>
    <w:basedOn w:val="CVBullet"/>
    <w:semiHidden/>
    <w:rsid w:val="0052640A"/>
    <w:pPr>
      <w:numPr>
        <w:ilvl w:val="1"/>
      </w:numPr>
    </w:pPr>
  </w:style>
  <w:style w:type="paragraph" w:customStyle="1" w:styleId="CVHeading2">
    <w:name w:val="CV_Heading2"/>
    <w:basedOn w:val="Normal"/>
    <w:next w:val="CVBullet"/>
    <w:semiHidden/>
    <w:rsid w:val="0052640A"/>
    <w:pPr>
      <w:keepLines/>
      <w:overflowPunct w:val="0"/>
      <w:autoSpaceDE w:val="0"/>
      <w:autoSpaceDN w:val="0"/>
      <w:adjustRightInd w:val="0"/>
      <w:textAlignment w:val="baseline"/>
    </w:pPr>
    <w:rPr>
      <w:b/>
      <w:bCs/>
    </w:rPr>
  </w:style>
  <w:style w:type="paragraph" w:customStyle="1" w:styleId="TenderBodyText">
    <w:name w:val="Tender Body Text"/>
    <w:basedOn w:val="Normal"/>
    <w:semiHidden/>
    <w:rsid w:val="0052640A"/>
  </w:style>
  <w:style w:type="paragraph" w:customStyle="1" w:styleId="CVCoversheetName">
    <w:name w:val="CV_Coversheet_Name"/>
    <w:basedOn w:val="Normal"/>
    <w:semiHidden/>
    <w:rsid w:val="0052640A"/>
    <w:rPr>
      <w:b/>
      <w:color w:val="FFFFFF"/>
      <w:sz w:val="28"/>
    </w:rPr>
  </w:style>
  <w:style w:type="paragraph" w:customStyle="1" w:styleId="CVCoversheetPhoto">
    <w:name w:val="CV_Coversheet_Photo"/>
    <w:basedOn w:val="Normal"/>
    <w:next w:val="Normal"/>
    <w:semiHidden/>
    <w:rsid w:val="0052640A"/>
    <w:pPr>
      <w:spacing w:after="240"/>
    </w:pPr>
  </w:style>
  <w:style w:type="paragraph" w:customStyle="1" w:styleId="CVCoversheetPosition">
    <w:name w:val="CV_Coversheet_Position"/>
    <w:basedOn w:val="Normal"/>
    <w:semiHidden/>
    <w:rsid w:val="0052640A"/>
    <w:pPr>
      <w:spacing w:after="0"/>
    </w:pPr>
    <w:rPr>
      <w:b/>
    </w:rPr>
  </w:style>
  <w:style w:type="paragraph" w:customStyle="1" w:styleId="CVCoversheetProfile">
    <w:name w:val="CV_Coversheet_Profile"/>
    <w:basedOn w:val="Normal"/>
    <w:semiHidden/>
    <w:rsid w:val="0052640A"/>
  </w:style>
  <w:style w:type="paragraph" w:customStyle="1" w:styleId="CVCoversheetTeam">
    <w:name w:val="CV_Coversheet_Team"/>
    <w:basedOn w:val="Normal"/>
    <w:semiHidden/>
    <w:rsid w:val="0052640A"/>
    <w:pPr>
      <w:spacing w:after="0"/>
    </w:pPr>
  </w:style>
  <w:style w:type="paragraph" w:customStyle="1" w:styleId="CVHeading1">
    <w:name w:val="CV_Heading1"/>
    <w:basedOn w:val="Normal"/>
    <w:next w:val="CVBullet"/>
    <w:semiHidden/>
    <w:rsid w:val="0052640A"/>
    <w:pPr>
      <w:spacing w:after="240"/>
    </w:pPr>
    <w:rPr>
      <w:rFonts w:cs="Arial"/>
      <w:b/>
      <w:color w:val="E31B23"/>
    </w:rPr>
  </w:style>
  <w:style w:type="paragraph" w:customStyle="1" w:styleId="TenderBodyText2">
    <w:name w:val="Tender Body Text 2"/>
    <w:basedOn w:val="Normal"/>
    <w:semiHidden/>
    <w:rsid w:val="0052640A"/>
    <w:pPr>
      <w:ind w:left="720"/>
      <w:outlineLvl w:val="1"/>
    </w:pPr>
  </w:style>
  <w:style w:type="paragraph" w:customStyle="1" w:styleId="Tendercoverdescription">
    <w:name w:val="Tender cover description"/>
    <w:basedOn w:val="Normal"/>
    <w:semiHidden/>
    <w:rsid w:val="0052640A"/>
    <w:pPr>
      <w:jc w:val="right"/>
    </w:pPr>
    <w:rPr>
      <w:sz w:val="32"/>
    </w:rPr>
  </w:style>
  <w:style w:type="paragraph" w:customStyle="1" w:styleId="Tendercoverdate">
    <w:name w:val="Tender cover date"/>
    <w:basedOn w:val="Tendercoverdescription"/>
    <w:semiHidden/>
    <w:rsid w:val="0052640A"/>
    <w:rPr>
      <w:color w:val="E31B23"/>
    </w:rPr>
  </w:style>
  <w:style w:type="paragraph" w:customStyle="1" w:styleId="Tendercovertitle">
    <w:name w:val="Tender cover title"/>
    <w:basedOn w:val="Normal"/>
    <w:semiHidden/>
    <w:rsid w:val="0052640A"/>
    <w:pPr>
      <w:jc w:val="right"/>
    </w:pPr>
    <w:rPr>
      <w:color w:val="E31B23"/>
      <w:sz w:val="64"/>
    </w:rPr>
  </w:style>
  <w:style w:type="paragraph" w:customStyle="1" w:styleId="TenderHeading1">
    <w:name w:val="Tender Heading 1"/>
    <w:basedOn w:val="Normal"/>
    <w:next w:val="TenderBodyText1"/>
    <w:semiHidden/>
    <w:rsid w:val="0052640A"/>
    <w:pPr>
      <w:keepNext/>
    </w:pPr>
    <w:rPr>
      <w:b/>
      <w:color w:val="E31B23"/>
    </w:rPr>
  </w:style>
  <w:style w:type="paragraph" w:customStyle="1" w:styleId="TenderHeading2">
    <w:name w:val="Tender Heading 2"/>
    <w:basedOn w:val="Normal"/>
    <w:next w:val="TenderBodyText2"/>
    <w:semiHidden/>
    <w:rsid w:val="0052640A"/>
    <w:pPr>
      <w:keepNext/>
    </w:pPr>
    <w:rPr>
      <w:b/>
      <w:color w:val="E31B23"/>
    </w:rPr>
  </w:style>
  <w:style w:type="paragraph" w:customStyle="1" w:styleId="TenderHeading3">
    <w:name w:val="Tender Heading 3"/>
    <w:basedOn w:val="Normal"/>
    <w:next w:val="TenderBodyText3"/>
    <w:semiHidden/>
    <w:rsid w:val="0052640A"/>
    <w:pPr>
      <w:keepNext/>
    </w:pPr>
    <w:rPr>
      <w:b/>
      <w:color w:val="E31B23"/>
      <w:sz w:val="21"/>
    </w:rPr>
  </w:style>
  <w:style w:type="paragraph" w:customStyle="1" w:styleId="TenderHeading4">
    <w:name w:val="Tender Heading 4"/>
    <w:basedOn w:val="Normal"/>
    <w:next w:val="TenderBodyText4"/>
    <w:semiHidden/>
    <w:rsid w:val="0052640A"/>
    <w:pPr>
      <w:keepNext/>
    </w:pPr>
    <w:rPr>
      <w:b/>
    </w:rPr>
  </w:style>
  <w:style w:type="paragraph" w:customStyle="1" w:styleId="Tendersectionlevel1">
    <w:name w:val="Tender section level 1"/>
    <w:basedOn w:val="Normal"/>
    <w:next w:val="TenderBodyText1"/>
    <w:semiHidden/>
    <w:rsid w:val="0052640A"/>
    <w:pPr>
      <w:numPr>
        <w:numId w:val="34"/>
      </w:numPr>
    </w:pPr>
    <w:rPr>
      <w:b/>
      <w:color w:val="E31B23"/>
      <w:sz w:val="28"/>
    </w:rPr>
  </w:style>
  <w:style w:type="paragraph" w:customStyle="1" w:styleId="Tenderlevel2number">
    <w:name w:val="Tender level 2 number"/>
    <w:basedOn w:val="Tendersectionlevel1"/>
    <w:semiHidden/>
    <w:rsid w:val="0052640A"/>
    <w:pPr>
      <w:numPr>
        <w:ilvl w:val="1"/>
      </w:numPr>
    </w:pPr>
    <w:rPr>
      <w:b w:val="0"/>
      <w:color w:val="auto"/>
      <w:sz w:val="22"/>
    </w:rPr>
  </w:style>
  <w:style w:type="paragraph" w:customStyle="1" w:styleId="Tenderlevel3number">
    <w:name w:val="Tender level 3 number"/>
    <w:basedOn w:val="Tenderlevel2number"/>
    <w:next w:val="Normal"/>
    <w:semiHidden/>
    <w:rsid w:val="0052640A"/>
    <w:pPr>
      <w:numPr>
        <w:ilvl w:val="2"/>
      </w:numPr>
    </w:pPr>
  </w:style>
  <w:style w:type="paragraph" w:customStyle="1" w:styleId="Tenderlevel2heading">
    <w:name w:val="Tender level 2 heading"/>
    <w:basedOn w:val="Tenderlevel2number"/>
    <w:next w:val="TenderBodyText2"/>
    <w:semiHidden/>
    <w:rsid w:val="0052640A"/>
    <w:rPr>
      <w:b/>
    </w:rPr>
  </w:style>
  <w:style w:type="paragraph" w:customStyle="1" w:styleId="Tenderlevel3heading">
    <w:name w:val="Tender level 3 heading"/>
    <w:basedOn w:val="Tenderlevel3number"/>
    <w:next w:val="TenderBodyText3"/>
    <w:semiHidden/>
    <w:rsid w:val="0052640A"/>
    <w:rPr>
      <w:b/>
      <w:sz w:val="21"/>
    </w:rPr>
  </w:style>
  <w:style w:type="paragraph" w:customStyle="1" w:styleId="Tenderbiogname">
    <w:name w:val="Tender biog name"/>
    <w:basedOn w:val="Normal"/>
    <w:semiHidden/>
    <w:rsid w:val="0052640A"/>
    <w:rPr>
      <w:b/>
    </w:rPr>
  </w:style>
  <w:style w:type="paragraph" w:customStyle="1" w:styleId="Tenderbiogposition">
    <w:name w:val="Tender biog position"/>
    <w:basedOn w:val="Normal"/>
    <w:next w:val="Tenderbiogteam"/>
    <w:semiHidden/>
    <w:rsid w:val="0052640A"/>
    <w:pPr>
      <w:spacing w:after="0"/>
    </w:pPr>
    <w:rPr>
      <w:b/>
    </w:rPr>
  </w:style>
  <w:style w:type="paragraph" w:customStyle="1" w:styleId="Tenderbiogteam">
    <w:name w:val="Tender biog team"/>
    <w:basedOn w:val="Normal"/>
    <w:next w:val="Tenderbiogtext"/>
    <w:semiHidden/>
    <w:rsid w:val="0052640A"/>
    <w:rPr>
      <w:b/>
    </w:rPr>
  </w:style>
  <w:style w:type="paragraph" w:customStyle="1" w:styleId="Tenderbiogtext">
    <w:name w:val="Tender biog text"/>
    <w:basedOn w:val="Normal"/>
    <w:semiHidden/>
    <w:rsid w:val="0052640A"/>
  </w:style>
  <w:style w:type="paragraph" w:customStyle="1" w:styleId="Tenderbiogbullet">
    <w:name w:val="Tender biog bullet"/>
    <w:basedOn w:val="Normal"/>
    <w:semiHidden/>
    <w:rsid w:val="0052640A"/>
    <w:pPr>
      <w:numPr>
        <w:numId w:val="35"/>
      </w:numPr>
      <w:tabs>
        <w:tab w:val="left" w:pos="288"/>
      </w:tabs>
    </w:pPr>
  </w:style>
  <w:style w:type="paragraph" w:customStyle="1" w:styleId="TenderBodyText1">
    <w:name w:val="Tender Body Text 1"/>
    <w:basedOn w:val="Normal"/>
    <w:semiHidden/>
    <w:rsid w:val="0052640A"/>
    <w:pPr>
      <w:ind w:left="720"/>
      <w:outlineLvl w:val="0"/>
    </w:pPr>
  </w:style>
  <w:style w:type="paragraph" w:customStyle="1" w:styleId="TenderBodyText3">
    <w:name w:val="Tender Body Text 3"/>
    <w:basedOn w:val="Normal"/>
    <w:semiHidden/>
    <w:rsid w:val="0052640A"/>
    <w:pPr>
      <w:ind w:left="720"/>
      <w:outlineLvl w:val="2"/>
    </w:pPr>
  </w:style>
  <w:style w:type="paragraph" w:customStyle="1" w:styleId="TenderBodyText4">
    <w:name w:val="Tender Body Text 4"/>
    <w:basedOn w:val="Normal"/>
    <w:semiHidden/>
    <w:rsid w:val="0052640A"/>
    <w:pPr>
      <w:ind w:left="720"/>
      <w:outlineLvl w:val="3"/>
    </w:pPr>
  </w:style>
  <w:style w:type="paragraph" w:customStyle="1" w:styleId="Tablenumber1">
    <w:name w:val="Table number 1"/>
    <w:basedOn w:val="Normal"/>
    <w:next w:val="Normal"/>
    <w:qFormat/>
    <w:rsid w:val="0052640A"/>
    <w:pPr>
      <w:numPr>
        <w:numId w:val="36"/>
      </w:numPr>
    </w:pPr>
  </w:style>
  <w:style w:type="paragraph" w:customStyle="1" w:styleId="Tablenumber3">
    <w:name w:val="Table number 3"/>
    <w:basedOn w:val="Normal"/>
    <w:qFormat/>
    <w:rsid w:val="0052640A"/>
    <w:pPr>
      <w:numPr>
        <w:ilvl w:val="2"/>
        <w:numId w:val="36"/>
      </w:numPr>
    </w:pPr>
  </w:style>
  <w:style w:type="paragraph" w:customStyle="1" w:styleId="Tablenumber4">
    <w:name w:val="Table number 4"/>
    <w:basedOn w:val="Normal"/>
    <w:rsid w:val="0052640A"/>
    <w:pPr>
      <w:numPr>
        <w:ilvl w:val="3"/>
        <w:numId w:val="36"/>
      </w:numPr>
    </w:pPr>
  </w:style>
  <w:style w:type="paragraph" w:customStyle="1" w:styleId="Tablenumber2">
    <w:name w:val="Table number 2"/>
    <w:basedOn w:val="Normal"/>
    <w:next w:val="Normal"/>
    <w:qFormat/>
    <w:rsid w:val="0052640A"/>
    <w:pPr>
      <w:numPr>
        <w:ilvl w:val="1"/>
        <w:numId w:val="36"/>
      </w:numPr>
    </w:pPr>
  </w:style>
  <w:style w:type="paragraph" w:customStyle="1" w:styleId="Tendersectionheading">
    <w:name w:val="Tender section heading"/>
    <w:basedOn w:val="Normal"/>
    <w:next w:val="TenderHeading1"/>
    <w:semiHidden/>
    <w:rsid w:val="0052640A"/>
    <w:rPr>
      <w:color w:val="E31B23"/>
      <w:sz w:val="64"/>
      <w:szCs w:val="64"/>
    </w:rPr>
  </w:style>
  <w:style w:type="paragraph" w:customStyle="1" w:styleId="CVHeading3">
    <w:name w:val="CV_Heading3"/>
    <w:basedOn w:val="Normal"/>
    <w:next w:val="CVBullet"/>
    <w:semiHidden/>
    <w:rsid w:val="0052640A"/>
    <w:pPr>
      <w:keepNext/>
    </w:pPr>
    <w:rPr>
      <w:b/>
      <w:sz w:val="21"/>
    </w:rPr>
  </w:style>
  <w:style w:type="paragraph" w:customStyle="1" w:styleId="TenderBullet">
    <w:name w:val="Tender Bullet"/>
    <w:basedOn w:val="Normal"/>
    <w:semiHidden/>
    <w:rsid w:val="0052640A"/>
    <w:pPr>
      <w:numPr>
        <w:numId w:val="37"/>
      </w:numPr>
    </w:pPr>
  </w:style>
  <w:style w:type="paragraph" w:customStyle="1" w:styleId="TenderBullet2">
    <w:name w:val="Tender Bullet 2"/>
    <w:basedOn w:val="TenderBullet"/>
    <w:semiHidden/>
    <w:rsid w:val="0052640A"/>
    <w:pPr>
      <w:numPr>
        <w:ilvl w:val="1"/>
      </w:numPr>
    </w:pPr>
  </w:style>
  <w:style w:type="paragraph" w:customStyle="1" w:styleId="VWTitleTextUpper">
    <w:name w:val="VWTitleTextUpper"/>
    <w:basedOn w:val="Normal"/>
    <w:semiHidden/>
    <w:rsid w:val="0052640A"/>
    <w:pPr>
      <w:overflowPunct w:val="0"/>
      <w:autoSpaceDE w:val="0"/>
      <w:autoSpaceDN w:val="0"/>
      <w:adjustRightInd w:val="0"/>
      <w:spacing w:after="0"/>
      <w:jc w:val="right"/>
      <w:textAlignment w:val="baseline"/>
    </w:pPr>
    <w:rPr>
      <w:rFonts w:cs="Arial"/>
      <w:noProof/>
      <w:sz w:val="16"/>
      <w:szCs w:val="16"/>
    </w:rPr>
  </w:style>
  <w:style w:type="paragraph" w:customStyle="1" w:styleId="VwTitletextLower">
    <w:name w:val="VwTitletextLower"/>
    <w:basedOn w:val="Normal"/>
    <w:semiHidden/>
    <w:rsid w:val="0052640A"/>
    <w:pPr>
      <w:overflowPunct w:val="0"/>
      <w:autoSpaceDE w:val="0"/>
      <w:autoSpaceDN w:val="0"/>
      <w:adjustRightInd w:val="0"/>
      <w:spacing w:after="0"/>
      <w:jc w:val="right"/>
      <w:textAlignment w:val="baseline"/>
    </w:pPr>
    <w:rPr>
      <w:rFonts w:cs="Arial"/>
      <w:noProof/>
      <w:sz w:val="13"/>
      <w:szCs w:val="16"/>
    </w:rPr>
  </w:style>
  <w:style w:type="paragraph" w:customStyle="1" w:styleId="Coverreference">
    <w:name w:val="Cover reference"/>
    <w:basedOn w:val="Normal"/>
    <w:semiHidden/>
    <w:rsid w:val="0052640A"/>
    <w:pPr>
      <w:spacing w:after="0"/>
    </w:pPr>
    <w:rPr>
      <w:rFonts w:cs="Arial"/>
      <w:color w:val="808080"/>
      <w:sz w:val="16"/>
    </w:rPr>
  </w:style>
  <w:style w:type="paragraph" w:customStyle="1" w:styleId="CVCoversheetEmail">
    <w:name w:val="CV_Coversheet_Email"/>
    <w:basedOn w:val="CVCoversheetContact"/>
    <w:semiHidden/>
    <w:rsid w:val="0052640A"/>
    <w:pPr>
      <w:spacing w:after="240"/>
    </w:pPr>
    <w:rPr>
      <w:b/>
    </w:rPr>
  </w:style>
  <w:style w:type="paragraph" w:customStyle="1" w:styleId="VWVourreferences">
    <w:name w:val="VWV our references"/>
    <w:basedOn w:val="Normal"/>
    <w:semiHidden/>
    <w:rsid w:val="0052640A"/>
    <w:pPr>
      <w:spacing w:after="0"/>
    </w:pPr>
  </w:style>
  <w:style w:type="paragraph" w:customStyle="1" w:styleId="VWVaddressee">
    <w:name w:val="VWV addressee"/>
    <w:basedOn w:val="Normal"/>
    <w:semiHidden/>
    <w:rsid w:val="0052640A"/>
    <w:pPr>
      <w:spacing w:after="0"/>
    </w:pPr>
  </w:style>
  <w:style w:type="paragraph" w:customStyle="1" w:styleId="VWVofficeaddress">
    <w:name w:val="VWV office address"/>
    <w:basedOn w:val="Normal"/>
    <w:semiHidden/>
    <w:rsid w:val="0052640A"/>
    <w:pPr>
      <w:spacing w:after="0"/>
    </w:pPr>
    <w:rPr>
      <w:noProof/>
    </w:rPr>
  </w:style>
  <w:style w:type="paragraph" w:styleId="Index1">
    <w:name w:val="index 1"/>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240" w:hanging="240"/>
    </w:pPr>
    <w:rPr>
      <w:color w:val="000000"/>
    </w:rPr>
  </w:style>
  <w:style w:type="paragraph" w:styleId="Index2">
    <w:name w:val="index 2"/>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480" w:hanging="240"/>
    </w:pPr>
    <w:rPr>
      <w:color w:val="000000"/>
    </w:rPr>
  </w:style>
  <w:style w:type="paragraph" w:styleId="Index3">
    <w:name w:val="index 3"/>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720" w:hanging="240"/>
    </w:pPr>
    <w:rPr>
      <w:color w:val="000000"/>
    </w:rPr>
  </w:style>
  <w:style w:type="paragraph" w:styleId="Index4">
    <w:name w:val="index 4"/>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960" w:hanging="240"/>
    </w:pPr>
    <w:rPr>
      <w:color w:val="000000"/>
    </w:rPr>
  </w:style>
  <w:style w:type="paragraph" w:styleId="Index5">
    <w:name w:val="index 5"/>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200" w:hanging="240"/>
    </w:pPr>
    <w:rPr>
      <w:color w:val="000000"/>
    </w:rPr>
  </w:style>
  <w:style w:type="paragraph" w:styleId="Index6">
    <w:name w:val="index 6"/>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440" w:hanging="240"/>
    </w:pPr>
    <w:rPr>
      <w:color w:val="000000"/>
    </w:rPr>
  </w:style>
  <w:style w:type="paragraph" w:styleId="Index7">
    <w:name w:val="index 7"/>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680" w:hanging="240"/>
    </w:pPr>
    <w:rPr>
      <w:color w:val="000000"/>
    </w:rPr>
  </w:style>
  <w:style w:type="paragraph" w:styleId="Index8">
    <w:name w:val="index 8"/>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920" w:hanging="240"/>
    </w:pPr>
    <w:rPr>
      <w:color w:val="000000"/>
    </w:rPr>
  </w:style>
  <w:style w:type="paragraph" w:styleId="Index9">
    <w:name w:val="index 9"/>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2160" w:hanging="240"/>
    </w:pPr>
    <w:rPr>
      <w:color w:val="000000"/>
    </w:rPr>
  </w:style>
  <w:style w:type="paragraph" w:styleId="TOC2">
    <w:name w:val="toc 2"/>
    <w:basedOn w:val="Normal"/>
    <w:next w:val="Normal"/>
    <w:uiPriority w:val="39"/>
    <w:rsid w:val="0052640A"/>
    <w:pPr>
      <w:tabs>
        <w:tab w:val="right" w:leader="dot" w:pos="8789"/>
      </w:tabs>
      <w:spacing w:before="60" w:after="60"/>
      <w:ind w:left="1440" w:hanging="1440"/>
      <w:contextualSpacing/>
    </w:pPr>
    <w:rPr>
      <w:noProof/>
    </w:rPr>
  </w:style>
  <w:style w:type="paragraph" w:styleId="TOC3">
    <w:name w:val="toc 3"/>
    <w:basedOn w:val="Normal"/>
    <w:next w:val="Normal"/>
    <w:uiPriority w:val="39"/>
    <w:rsid w:val="0052640A"/>
    <w:pPr>
      <w:tabs>
        <w:tab w:val="left" w:pos="1440"/>
        <w:tab w:val="right" w:leader="dot" w:pos="8784"/>
      </w:tabs>
      <w:spacing w:before="60" w:after="60"/>
      <w:ind w:left="1440" w:hanging="720"/>
      <w:contextualSpacing/>
    </w:pPr>
    <w:rPr>
      <w:noProof/>
    </w:rPr>
  </w:style>
  <w:style w:type="paragraph" w:styleId="TOC4">
    <w:name w:val="toc 4"/>
    <w:basedOn w:val="TOC3"/>
    <w:uiPriority w:val="39"/>
    <w:rsid w:val="0052640A"/>
    <w:pPr>
      <w:ind w:left="2160"/>
    </w:pPr>
  </w:style>
  <w:style w:type="paragraph" w:styleId="TOC5">
    <w:name w:val="toc 5"/>
    <w:basedOn w:val="Normal"/>
    <w:uiPriority w:val="39"/>
    <w:rsid w:val="0052640A"/>
    <w:pPr>
      <w:tabs>
        <w:tab w:val="right" w:leader="dot" w:pos="8784"/>
      </w:tabs>
      <w:spacing w:before="60" w:after="60"/>
      <w:ind w:left="720"/>
      <w:contextualSpacing/>
    </w:pPr>
  </w:style>
  <w:style w:type="paragraph" w:styleId="TOC6">
    <w:name w:val="toc 6"/>
    <w:basedOn w:val="Normal"/>
    <w:uiPriority w:val="39"/>
    <w:rsid w:val="0052640A"/>
    <w:pPr>
      <w:tabs>
        <w:tab w:val="right" w:leader="dot" w:pos="8784"/>
      </w:tabs>
      <w:spacing w:before="60" w:after="60"/>
      <w:ind w:left="1440"/>
      <w:contextualSpacing/>
    </w:pPr>
  </w:style>
  <w:style w:type="paragraph" w:styleId="TOC7">
    <w:name w:val="toc 7"/>
    <w:basedOn w:val="Normal"/>
    <w:uiPriority w:val="39"/>
    <w:rsid w:val="0052640A"/>
    <w:pPr>
      <w:tabs>
        <w:tab w:val="left" w:pos="709"/>
        <w:tab w:val="right" w:leader="dot" w:pos="7655"/>
        <w:tab w:val="left" w:pos="7920"/>
        <w:tab w:val="left" w:pos="8640"/>
        <w:tab w:val="left" w:pos="9360"/>
        <w:tab w:val="left" w:pos="10080"/>
      </w:tabs>
      <w:spacing w:line="200" w:lineRule="atLeast"/>
      <w:ind w:left="1440"/>
    </w:pPr>
    <w:rPr>
      <w:color w:val="000000"/>
    </w:rPr>
  </w:style>
  <w:style w:type="paragraph" w:styleId="TOC8">
    <w:name w:val="toc 8"/>
    <w:basedOn w:val="Normal"/>
    <w:uiPriority w:val="39"/>
    <w:rsid w:val="0052640A"/>
    <w:pPr>
      <w:tabs>
        <w:tab w:val="left" w:pos="709"/>
        <w:tab w:val="right" w:leader="dot" w:pos="7655"/>
        <w:tab w:val="left" w:pos="7920"/>
        <w:tab w:val="left" w:pos="8640"/>
        <w:tab w:val="left" w:pos="9360"/>
        <w:tab w:val="left" w:pos="10080"/>
      </w:tabs>
      <w:spacing w:line="200" w:lineRule="atLeast"/>
      <w:ind w:left="1680"/>
    </w:pPr>
    <w:rPr>
      <w:color w:val="000000"/>
    </w:rPr>
  </w:style>
  <w:style w:type="paragraph" w:styleId="TOC9">
    <w:name w:val="toc 9"/>
    <w:basedOn w:val="Normal"/>
    <w:uiPriority w:val="39"/>
    <w:rsid w:val="0052640A"/>
    <w:pPr>
      <w:tabs>
        <w:tab w:val="left" w:pos="709"/>
        <w:tab w:val="right" w:leader="dot" w:pos="7655"/>
        <w:tab w:val="left" w:pos="7920"/>
        <w:tab w:val="left" w:pos="8640"/>
        <w:tab w:val="left" w:pos="9360"/>
        <w:tab w:val="left" w:pos="10080"/>
      </w:tabs>
      <w:spacing w:line="200" w:lineRule="atLeast"/>
      <w:ind w:left="1920"/>
    </w:pPr>
    <w:rPr>
      <w:color w:val="000000"/>
    </w:rPr>
  </w:style>
  <w:style w:type="paragraph" w:styleId="NormalIndent">
    <w:name w:val="Normal Indent"/>
    <w:basedOn w:val="Normal"/>
    <w:semiHidden/>
    <w:rsid w:val="0052640A"/>
    <w:pPr>
      <w:ind w:left="720"/>
    </w:pPr>
    <w:rPr>
      <w:color w:val="000000"/>
    </w:rPr>
  </w:style>
  <w:style w:type="paragraph" w:styleId="FootnoteText">
    <w:name w:val="footnote text"/>
    <w:basedOn w:val="Normal"/>
    <w:link w:val="FootnoteTextChar"/>
    <w:semiHidden/>
    <w:rsid w:val="0052640A"/>
    <w:pPr>
      <w:keepLines/>
      <w:spacing w:after="0"/>
    </w:pPr>
    <w:rPr>
      <w:sz w:val="16"/>
      <w:szCs w:val="16"/>
    </w:rPr>
  </w:style>
  <w:style w:type="character" w:customStyle="1" w:styleId="FootnoteTextChar">
    <w:name w:val="Footnote Text Char"/>
    <w:basedOn w:val="DefaultParagraphFont"/>
    <w:link w:val="FootnoteText"/>
    <w:semiHidden/>
    <w:rsid w:val="0052640A"/>
    <w:rPr>
      <w:rFonts w:ascii="Arial" w:eastAsiaTheme="minorHAnsi" w:hAnsi="Arial"/>
      <w:kern w:val="2"/>
      <w:sz w:val="16"/>
      <w:szCs w:val="16"/>
      <w:lang w:eastAsia="en-US"/>
      <w14:ligatures w14:val="standardContextual"/>
    </w:rPr>
  </w:style>
  <w:style w:type="paragraph" w:styleId="IndexHeading">
    <w:name w:val="index heading"/>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b/>
      <w:color w:val="000000"/>
    </w:rPr>
  </w:style>
  <w:style w:type="paragraph" w:styleId="TableofFigures">
    <w:name w:val="table of figures"/>
    <w:basedOn w:val="Normal"/>
    <w:semiHidden/>
    <w:rsid w:val="0052640A"/>
    <w:pPr>
      <w:tabs>
        <w:tab w:val="left" w:pos="709"/>
        <w:tab w:val="right" w:leader="dot" w:pos="7655"/>
        <w:tab w:val="left" w:pos="7920"/>
        <w:tab w:val="left" w:pos="8640"/>
        <w:tab w:val="left" w:pos="9360"/>
        <w:tab w:val="left" w:pos="10080"/>
      </w:tabs>
      <w:spacing w:line="200" w:lineRule="atLeast"/>
      <w:ind w:left="480" w:hanging="480"/>
    </w:pPr>
    <w:rPr>
      <w:color w:val="000000"/>
    </w:rPr>
  </w:style>
  <w:style w:type="paragraph" w:styleId="EnvelopeAddress">
    <w:name w:val="envelope address"/>
    <w:basedOn w:val="Normal"/>
    <w:semiHidden/>
    <w:rsid w:val="0052640A"/>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pPr>
    <w:rPr>
      <w:color w:val="000000"/>
    </w:rPr>
  </w:style>
  <w:style w:type="paragraph" w:styleId="EnvelopeReturn">
    <w:name w:val="envelope return"/>
    <w:basedOn w:val="Normal"/>
    <w:semiHidden/>
    <w:rsid w:val="0052640A"/>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character" w:styleId="FootnoteReference">
    <w:name w:val="footnote reference"/>
    <w:semiHidden/>
    <w:rsid w:val="0052640A"/>
    <w:rPr>
      <w:color w:val="auto"/>
      <w:vertAlign w:val="superscript"/>
    </w:rPr>
  </w:style>
  <w:style w:type="character" w:styleId="LineNumber">
    <w:name w:val="line number"/>
    <w:semiHidden/>
    <w:rsid w:val="0052640A"/>
    <w:rPr>
      <w:rFonts w:ascii="Calibri" w:hAnsi="Calibri"/>
      <w:color w:val="000000"/>
      <w:sz w:val="22"/>
    </w:rPr>
  </w:style>
  <w:style w:type="character" w:styleId="PageNumber">
    <w:name w:val="page number"/>
    <w:semiHidden/>
    <w:rsid w:val="0052640A"/>
    <w:rPr>
      <w:rFonts w:cs="Arial"/>
      <w:color w:val="auto"/>
      <w:sz w:val="20"/>
    </w:rPr>
  </w:style>
  <w:style w:type="character" w:styleId="EndnoteReference">
    <w:name w:val="endnote reference"/>
    <w:semiHidden/>
    <w:rsid w:val="0052640A"/>
    <w:rPr>
      <w:rFonts w:ascii="Calibri" w:hAnsi="Calibri"/>
      <w:color w:val="000000"/>
      <w:sz w:val="24"/>
      <w:vertAlign w:val="superscript"/>
    </w:rPr>
  </w:style>
  <w:style w:type="paragraph" w:styleId="EndnoteText">
    <w:name w:val="endnote text"/>
    <w:basedOn w:val="Normal"/>
    <w:link w:val="EndnoteTextChar"/>
    <w:semiHidden/>
    <w:rsid w:val="0052640A"/>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color w:val="000000"/>
    </w:rPr>
  </w:style>
  <w:style w:type="character" w:customStyle="1" w:styleId="EndnoteTextChar">
    <w:name w:val="Endnote Text Char"/>
    <w:basedOn w:val="DefaultParagraphFont"/>
    <w:link w:val="EndnoteText"/>
    <w:semiHidden/>
    <w:rsid w:val="0052640A"/>
    <w:rPr>
      <w:rFonts w:ascii="Arial" w:eastAsiaTheme="minorHAnsi" w:hAnsi="Arial"/>
      <w:color w:val="000000"/>
      <w:kern w:val="2"/>
      <w:sz w:val="20"/>
      <w:szCs w:val="20"/>
      <w:lang w:eastAsia="en-US"/>
      <w14:ligatures w14:val="standardContextual"/>
    </w:rPr>
  </w:style>
  <w:style w:type="paragraph" w:styleId="TableofAuthorities">
    <w:name w:val="table of authorities"/>
    <w:basedOn w:val="Normal"/>
    <w:semiHidden/>
    <w:rsid w:val="0052640A"/>
    <w:pPr>
      <w:tabs>
        <w:tab w:val="left" w:pos="709"/>
        <w:tab w:val="right" w:leader="dot" w:pos="7655"/>
        <w:tab w:val="left" w:pos="7920"/>
        <w:tab w:val="left" w:pos="8640"/>
        <w:tab w:val="left" w:pos="9360"/>
        <w:tab w:val="left" w:pos="10080"/>
      </w:tabs>
      <w:spacing w:line="200" w:lineRule="atLeast"/>
      <w:ind w:left="240" w:hanging="240"/>
    </w:pPr>
    <w:rPr>
      <w:color w:val="000000"/>
    </w:rPr>
  </w:style>
  <w:style w:type="paragraph" w:styleId="MacroText">
    <w:name w:val="macro"/>
    <w:basedOn w:val="Normal"/>
    <w:link w:val="MacroTextChar"/>
    <w:semiHidden/>
    <w:rsid w:val="0052640A"/>
    <w:pPr>
      <w:spacing w:line="200" w:lineRule="atLeast"/>
    </w:pPr>
    <w:rPr>
      <w:color w:val="000000"/>
    </w:rPr>
  </w:style>
  <w:style w:type="character" w:customStyle="1" w:styleId="MacroTextChar">
    <w:name w:val="Macro Text Char"/>
    <w:basedOn w:val="DefaultParagraphFont"/>
    <w:link w:val="MacroText"/>
    <w:semiHidden/>
    <w:rsid w:val="0052640A"/>
    <w:rPr>
      <w:rFonts w:ascii="Arial" w:eastAsiaTheme="minorHAnsi" w:hAnsi="Arial"/>
      <w:color w:val="000000"/>
      <w:kern w:val="2"/>
      <w:sz w:val="24"/>
      <w:szCs w:val="20"/>
      <w:lang w:eastAsia="en-US"/>
      <w14:ligatures w14:val="standardContextual"/>
    </w:rPr>
  </w:style>
  <w:style w:type="paragraph" w:styleId="TOAHeading">
    <w:name w:val="toa heading"/>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line="200" w:lineRule="atLeast"/>
    </w:pPr>
    <w:rPr>
      <w:b/>
      <w:color w:val="000000"/>
    </w:rPr>
  </w:style>
  <w:style w:type="paragraph" w:styleId="List">
    <w:name w:val="List"/>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pPr>
    <w:rPr>
      <w:color w:val="000000"/>
    </w:rPr>
  </w:style>
  <w:style w:type="paragraph" w:styleId="ListBullet">
    <w:name w:val="List Bullet"/>
    <w:basedOn w:val="Normal"/>
    <w:rsid w:val="0052640A"/>
    <w:pPr>
      <w:numPr>
        <w:numId w:val="38"/>
      </w:numPr>
    </w:pPr>
  </w:style>
  <w:style w:type="paragraph" w:styleId="ListNumber">
    <w:name w:val="List Number"/>
    <w:basedOn w:val="Normal"/>
    <w:semiHidden/>
    <w:rsid w:val="0052640A"/>
    <w:pPr>
      <w:tabs>
        <w:tab w:val="num" w:pos="360"/>
      </w:tabs>
    </w:pPr>
  </w:style>
  <w:style w:type="paragraph" w:styleId="List2">
    <w:name w:val="List 2"/>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14" w:hanging="357"/>
    </w:pPr>
    <w:rPr>
      <w:color w:val="000000"/>
    </w:rPr>
  </w:style>
  <w:style w:type="paragraph" w:styleId="List3">
    <w:name w:val="List 3"/>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rPr>
  </w:style>
  <w:style w:type="paragraph" w:styleId="List4">
    <w:name w:val="List 4"/>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rPr>
  </w:style>
  <w:style w:type="paragraph" w:styleId="List5">
    <w:name w:val="List 5"/>
    <w:basedOn w:val="Normal"/>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rPr>
  </w:style>
  <w:style w:type="paragraph" w:styleId="ListBullet2">
    <w:name w:val="List Bullet 2"/>
    <w:basedOn w:val="Normal"/>
    <w:rsid w:val="0052640A"/>
    <w:pPr>
      <w:numPr>
        <w:ilvl w:val="1"/>
        <w:numId w:val="38"/>
      </w:numPr>
    </w:pPr>
  </w:style>
  <w:style w:type="paragraph" w:styleId="ListBullet3">
    <w:name w:val="List Bullet 3"/>
    <w:basedOn w:val="Normal"/>
    <w:semiHidden/>
    <w:rsid w:val="0052640A"/>
    <w:pPr>
      <w:tabs>
        <w:tab w:val="num"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rPr>
  </w:style>
  <w:style w:type="paragraph" w:styleId="ListBullet4">
    <w:name w:val="List Bullet 4"/>
    <w:basedOn w:val="Normal"/>
    <w:semiHidden/>
    <w:rsid w:val="0052640A"/>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rPr>
  </w:style>
  <w:style w:type="paragraph" w:styleId="ListBullet5">
    <w:name w:val="List Bullet 5"/>
    <w:basedOn w:val="Normal"/>
    <w:semiHidden/>
    <w:rsid w:val="0052640A"/>
    <w:pPr>
      <w:tabs>
        <w:tab w:val="num"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rPr>
  </w:style>
  <w:style w:type="paragraph" w:styleId="ListNumber2">
    <w:name w:val="List Number 2"/>
    <w:basedOn w:val="Normal"/>
    <w:semiHidden/>
    <w:rsid w:val="0052640A"/>
    <w:pPr>
      <w:tabs>
        <w:tab w:val="num" w:pos="360"/>
      </w:tabs>
    </w:pPr>
  </w:style>
  <w:style w:type="paragraph" w:styleId="ListNumber3">
    <w:name w:val="List Number 3"/>
    <w:basedOn w:val="Normal"/>
    <w:semiHidden/>
    <w:rsid w:val="0052640A"/>
    <w:pPr>
      <w:tabs>
        <w:tab w:val="num"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rPr>
  </w:style>
  <w:style w:type="paragraph" w:styleId="ListNumber4">
    <w:name w:val="List Number 4"/>
    <w:basedOn w:val="Normal"/>
    <w:semiHidden/>
    <w:rsid w:val="0052640A"/>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rPr>
  </w:style>
  <w:style w:type="paragraph" w:styleId="ListNumber5">
    <w:name w:val="List Number 5"/>
    <w:basedOn w:val="Normal"/>
    <w:semiHidden/>
    <w:rsid w:val="0052640A"/>
    <w:pPr>
      <w:tabs>
        <w:tab w:val="num"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rPr>
  </w:style>
  <w:style w:type="paragraph" w:styleId="Closing">
    <w:name w:val="Closing"/>
    <w:basedOn w:val="Normal"/>
    <w:link w:val="ClosingChar"/>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1"/>
    </w:pPr>
    <w:rPr>
      <w:color w:val="000000"/>
    </w:rPr>
  </w:style>
  <w:style w:type="character" w:customStyle="1" w:styleId="ClosingChar">
    <w:name w:val="Closing Char"/>
    <w:basedOn w:val="DefaultParagraphFont"/>
    <w:link w:val="Closing"/>
    <w:semiHidden/>
    <w:rsid w:val="0052640A"/>
    <w:rPr>
      <w:rFonts w:ascii="Arial" w:eastAsiaTheme="minorHAnsi" w:hAnsi="Arial"/>
      <w:color w:val="000000"/>
      <w:kern w:val="2"/>
      <w:sz w:val="20"/>
      <w:szCs w:val="20"/>
      <w:lang w:eastAsia="en-US"/>
      <w14:ligatures w14:val="standardContextual"/>
    </w:rPr>
  </w:style>
  <w:style w:type="paragraph" w:styleId="Signature">
    <w:name w:val="Signature"/>
    <w:basedOn w:val="Normal"/>
    <w:link w:val="SignatureChar"/>
    <w:semiHidden/>
    <w:rsid w:val="0052640A"/>
    <w:pPr>
      <w:ind w:left="4321"/>
    </w:pPr>
  </w:style>
  <w:style w:type="character" w:customStyle="1" w:styleId="SignatureChar">
    <w:name w:val="Signature Char"/>
    <w:basedOn w:val="DefaultParagraphFont"/>
    <w:link w:val="Signature"/>
    <w:semiHidden/>
    <w:rsid w:val="0052640A"/>
    <w:rPr>
      <w:rFonts w:ascii="Arial" w:eastAsiaTheme="minorHAnsi" w:hAnsi="Arial"/>
      <w:kern w:val="2"/>
      <w:sz w:val="20"/>
      <w:szCs w:val="20"/>
      <w:lang w:eastAsia="en-US"/>
      <w14:ligatures w14:val="standardContextual"/>
    </w:rPr>
  </w:style>
  <w:style w:type="paragraph" w:styleId="BodyTextIndent">
    <w:name w:val="Body Text Indent"/>
    <w:basedOn w:val="Normal"/>
    <w:link w:val="BodyTextIndentChar"/>
    <w:semiHidden/>
    <w:rsid w:val="0052640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character" w:customStyle="1" w:styleId="BodyTextIndentChar">
    <w:name w:val="Body Text Indent Char"/>
    <w:basedOn w:val="DefaultParagraphFont"/>
    <w:link w:val="BodyTextIndent"/>
    <w:semiHidden/>
    <w:rsid w:val="0052640A"/>
    <w:rPr>
      <w:rFonts w:ascii="Arial" w:eastAsiaTheme="minorHAnsi" w:hAnsi="Arial"/>
      <w:color w:val="000000"/>
      <w:kern w:val="2"/>
      <w:sz w:val="20"/>
      <w:szCs w:val="20"/>
      <w:lang w:eastAsia="en-US"/>
      <w14:ligatures w14:val="standardContextual"/>
    </w:rPr>
  </w:style>
  <w:style w:type="paragraph" w:styleId="ListContinue">
    <w:name w:val="List Continue"/>
    <w:basedOn w:val="Normal"/>
    <w:semiHidden/>
    <w:rsid w:val="0052640A"/>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pPr>
    <w:rPr>
      <w:color w:val="000000"/>
    </w:rPr>
  </w:style>
  <w:style w:type="paragraph" w:styleId="ListContinue2">
    <w:name w:val="List Continue 2"/>
    <w:basedOn w:val="Normal"/>
    <w:semiHidden/>
    <w:rsid w:val="0052640A"/>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Pr>
      <w:color w:val="000000"/>
    </w:rPr>
  </w:style>
  <w:style w:type="paragraph" w:styleId="ListContinue3">
    <w:name w:val="List Continue 3"/>
    <w:basedOn w:val="Normal"/>
    <w:semiHidden/>
    <w:rsid w:val="0052640A"/>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pPr>
    <w:rPr>
      <w:color w:val="000000"/>
    </w:rPr>
  </w:style>
  <w:style w:type="paragraph" w:styleId="ListContinue4">
    <w:name w:val="List Continue 4"/>
    <w:basedOn w:val="Normal"/>
    <w:semiHidden/>
    <w:rsid w:val="0052640A"/>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pPr>
    <w:rPr>
      <w:color w:val="000000"/>
    </w:rPr>
  </w:style>
  <w:style w:type="paragraph" w:styleId="ListContinue5">
    <w:name w:val="List Continue 5"/>
    <w:basedOn w:val="Normal"/>
    <w:semiHidden/>
    <w:rsid w:val="0052640A"/>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pPr>
    <w:rPr>
      <w:color w:val="000000"/>
    </w:rPr>
  </w:style>
  <w:style w:type="paragraph" w:styleId="MessageHeader">
    <w:name w:val="Message Header"/>
    <w:basedOn w:val="Normal"/>
    <w:link w:val="MessageHeaderChar"/>
    <w:semiHidden/>
    <w:rsid w:val="0052640A"/>
    <w:pPr>
      <w:ind w:left="1077" w:hanging="1077"/>
    </w:pPr>
    <w:rPr>
      <w:color w:val="000000"/>
    </w:rPr>
  </w:style>
  <w:style w:type="character" w:customStyle="1" w:styleId="MessageHeaderChar">
    <w:name w:val="Message Header Char"/>
    <w:basedOn w:val="DefaultParagraphFont"/>
    <w:link w:val="MessageHeader"/>
    <w:semiHidden/>
    <w:rsid w:val="0052640A"/>
    <w:rPr>
      <w:rFonts w:ascii="Arial" w:eastAsiaTheme="minorHAnsi" w:hAnsi="Arial"/>
      <w:color w:val="000000"/>
      <w:kern w:val="2"/>
      <w:sz w:val="24"/>
      <w:szCs w:val="20"/>
      <w:lang w:eastAsia="en-US"/>
      <w14:ligatures w14:val="standardContextual"/>
    </w:rPr>
  </w:style>
  <w:style w:type="paragraph" w:styleId="Salutation">
    <w:name w:val="Salutation"/>
    <w:basedOn w:val="Normal"/>
    <w:link w:val="SalutationChar"/>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character" w:customStyle="1" w:styleId="SalutationChar">
    <w:name w:val="Salutation Char"/>
    <w:basedOn w:val="DefaultParagraphFont"/>
    <w:link w:val="Salutation"/>
    <w:semiHidden/>
    <w:rsid w:val="0052640A"/>
    <w:rPr>
      <w:rFonts w:ascii="Arial" w:eastAsiaTheme="minorHAnsi" w:hAnsi="Arial"/>
      <w:color w:val="000000"/>
      <w:kern w:val="2"/>
      <w:sz w:val="20"/>
      <w:szCs w:val="20"/>
      <w:lang w:eastAsia="en-US"/>
      <w14:ligatures w14:val="standardContextual"/>
    </w:rPr>
  </w:style>
  <w:style w:type="character" w:customStyle="1" w:styleId="DateChar">
    <w:name w:val="Date Char"/>
    <w:basedOn w:val="DefaultParagraphFont"/>
    <w:link w:val="Date"/>
    <w:rsid w:val="0052640A"/>
    <w:rPr>
      <w:rFonts w:ascii="Arial" w:eastAsiaTheme="minorHAnsi" w:hAnsi="Arial"/>
      <w:color w:val="000000"/>
      <w:kern w:val="2"/>
      <w:sz w:val="20"/>
      <w:szCs w:val="20"/>
      <w:lang w:eastAsia="en-US"/>
      <w14:ligatures w14:val="standardContextual"/>
    </w:rPr>
  </w:style>
  <w:style w:type="paragraph" w:styleId="BodyTextFirstIndent">
    <w:name w:val="Body Text First Indent"/>
    <w:basedOn w:val="Normal"/>
    <w:link w:val="BodyTextFirstIndentChar"/>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210"/>
    </w:pPr>
    <w:rPr>
      <w:color w:val="000000"/>
    </w:rPr>
  </w:style>
  <w:style w:type="character" w:customStyle="1" w:styleId="BodyTextFirstIndentChar">
    <w:name w:val="Body Text First Indent Char"/>
    <w:basedOn w:val="BodyTextChar"/>
    <w:link w:val="BodyTextFirstIndent"/>
    <w:semiHidden/>
    <w:rsid w:val="0052640A"/>
    <w:rPr>
      <w:rFonts w:ascii="Arial" w:eastAsiaTheme="minorHAnsi" w:hAnsi="Arial"/>
      <w:color w:val="000000"/>
      <w:kern w:val="2"/>
      <w:sz w:val="20"/>
      <w:szCs w:val="20"/>
      <w:lang w:eastAsia="en-US"/>
      <w14:ligatures w14:val="standardContextual"/>
    </w:rPr>
  </w:style>
  <w:style w:type="paragraph" w:styleId="BodyTextFirstIndent2">
    <w:name w:val="Body Text First Indent 2"/>
    <w:basedOn w:val="Normal"/>
    <w:link w:val="BodyTextFirstIndent2Char"/>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firstLine="108"/>
    </w:pPr>
    <w:rPr>
      <w:color w:val="000000"/>
    </w:rPr>
  </w:style>
  <w:style w:type="character" w:customStyle="1" w:styleId="BodyTextFirstIndent2Char">
    <w:name w:val="Body Text First Indent 2 Char"/>
    <w:basedOn w:val="BodyTextIndentChar"/>
    <w:link w:val="BodyTextFirstIndent2"/>
    <w:semiHidden/>
    <w:rsid w:val="0052640A"/>
    <w:rPr>
      <w:rFonts w:ascii="Arial" w:eastAsiaTheme="minorHAnsi" w:hAnsi="Arial"/>
      <w:color w:val="000000"/>
      <w:kern w:val="2"/>
      <w:sz w:val="20"/>
      <w:szCs w:val="20"/>
      <w:lang w:eastAsia="en-US"/>
      <w14:ligatures w14:val="standardContextual"/>
    </w:rPr>
  </w:style>
  <w:style w:type="paragraph" w:styleId="NoteHeading">
    <w:name w:val="Note Heading"/>
    <w:basedOn w:val="Normal"/>
    <w:link w:val="NoteHeadingChar"/>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character" w:customStyle="1" w:styleId="NoteHeadingChar">
    <w:name w:val="Note Heading Char"/>
    <w:basedOn w:val="DefaultParagraphFont"/>
    <w:link w:val="NoteHeading"/>
    <w:rsid w:val="0052640A"/>
    <w:rPr>
      <w:rFonts w:ascii="Arial" w:eastAsiaTheme="minorHAnsi" w:hAnsi="Arial"/>
      <w:color w:val="000000"/>
      <w:kern w:val="2"/>
      <w:sz w:val="24"/>
      <w:szCs w:val="20"/>
      <w:lang w:eastAsia="en-US"/>
      <w14:ligatures w14:val="standardContextual"/>
    </w:rPr>
  </w:style>
  <w:style w:type="paragraph" w:styleId="BodyTextIndent2">
    <w:name w:val="Body Text Indent 2"/>
    <w:basedOn w:val="Normal"/>
    <w:link w:val="BodyTextIndent2Char"/>
    <w:semiHidden/>
    <w:rsid w:val="0052640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character" w:customStyle="1" w:styleId="BodyTextIndent2Char">
    <w:name w:val="Body Text Indent 2 Char"/>
    <w:basedOn w:val="DefaultParagraphFont"/>
    <w:link w:val="BodyTextIndent2"/>
    <w:semiHidden/>
    <w:rsid w:val="0052640A"/>
    <w:rPr>
      <w:rFonts w:ascii="Arial" w:eastAsiaTheme="minorHAnsi" w:hAnsi="Arial"/>
      <w:color w:val="000000"/>
      <w:kern w:val="2"/>
      <w:sz w:val="24"/>
      <w:szCs w:val="20"/>
      <w:lang w:eastAsia="en-US"/>
      <w14:ligatures w14:val="standardContextual"/>
    </w:rPr>
  </w:style>
  <w:style w:type="paragraph" w:styleId="BodyTextIndent3">
    <w:name w:val="Body Text Indent 3"/>
    <w:basedOn w:val="Normal"/>
    <w:link w:val="BodyTextIndent3Char"/>
    <w:semiHidden/>
    <w:rsid w:val="0052640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16"/>
    </w:rPr>
  </w:style>
  <w:style w:type="character" w:customStyle="1" w:styleId="BodyTextIndent3Char">
    <w:name w:val="Body Text Indent 3 Char"/>
    <w:basedOn w:val="DefaultParagraphFont"/>
    <w:link w:val="BodyTextIndent3"/>
    <w:semiHidden/>
    <w:rsid w:val="0052640A"/>
    <w:rPr>
      <w:rFonts w:ascii="Arial" w:eastAsiaTheme="minorHAnsi" w:hAnsi="Arial"/>
      <w:color w:val="000000"/>
      <w:kern w:val="2"/>
      <w:sz w:val="16"/>
      <w:szCs w:val="20"/>
      <w:lang w:eastAsia="en-US"/>
      <w14:ligatures w14:val="standardContextual"/>
    </w:rPr>
  </w:style>
  <w:style w:type="paragraph" w:styleId="DocumentMap">
    <w:name w:val="Document Map"/>
    <w:basedOn w:val="Normal"/>
    <w:link w:val="DocumentMapChar"/>
    <w:semiHidden/>
    <w:rsid w:val="0052640A"/>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color w:val="000000"/>
    </w:rPr>
  </w:style>
  <w:style w:type="character" w:customStyle="1" w:styleId="DocumentMapChar">
    <w:name w:val="Document Map Char"/>
    <w:basedOn w:val="DefaultParagraphFont"/>
    <w:link w:val="DocumentMap"/>
    <w:semiHidden/>
    <w:rsid w:val="0052640A"/>
    <w:rPr>
      <w:rFonts w:ascii="Arial" w:eastAsiaTheme="minorHAnsi" w:hAnsi="Arial"/>
      <w:color w:val="000000"/>
      <w:kern w:val="2"/>
      <w:sz w:val="24"/>
      <w:szCs w:val="20"/>
      <w:lang w:eastAsia="en-US"/>
      <w14:ligatures w14:val="standardContextual"/>
    </w:rPr>
  </w:style>
  <w:style w:type="paragraph" w:styleId="PlainText">
    <w:name w:val="Plain Text"/>
    <w:basedOn w:val="Normal"/>
    <w:link w:val="PlainTextChar"/>
    <w:semiHidden/>
    <w:rsid w:val="005264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character" w:customStyle="1" w:styleId="PlainTextChar">
    <w:name w:val="Plain Text Char"/>
    <w:basedOn w:val="DefaultParagraphFont"/>
    <w:link w:val="PlainText"/>
    <w:semiHidden/>
    <w:rsid w:val="0052640A"/>
    <w:rPr>
      <w:rFonts w:ascii="Arial" w:eastAsiaTheme="minorHAnsi" w:hAnsi="Arial"/>
      <w:color w:val="000000"/>
      <w:kern w:val="2"/>
      <w:sz w:val="20"/>
      <w:szCs w:val="20"/>
      <w:lang w:eastAsia="en-US"/>
      <w14:ligatures w14:val="standardContextual"/>
    </w:rPr>
  </w:style>
  <w:style w:type="paragraph" w:styleId="EmailSignature">
    <w:name w:val="E-mail Signature"/>
    <w:basedOn w:val="Normal"/>
    <w:link w:val="EmailSignatureChar"/>
    <w:semiHidden/>
    <w:rsid w:val="0052640A"/>
  </w:style>
  <w:style w:type="character" w:customStyle="1" w:styleId="EmailSignatureChar">
    <w:name w:val="Email Signature Char"/>
    <w:basedOn w:val="DefaultParagraphFont"/>
    <w:link w:val="EmailSignature"/>
    <w:semiHidden/>
    <w:rsid w:val="0052640A"/>
    <w:rPr>
      <w:rFonts w:ascii="Arial" w:eastAsiaTheme="minorHAnsi" w:hAnsi="Arial"/>
      <w:kern w:val="2"/>
      <w:sz w:val="20"/>
      <w:szCs w:val="20"/>
      <w:lang w:eastAsia="en-US"/>
      <w14:ligatures w14:val="standardContextual"/>
    </w:rPr>
  </w:style>
  <w:style w:type="paragraph" w:styleId="NormalWeb">
    <w:name w:val="Normal (Web)"/>
    <w:basedOn w:val="Normal"/>
    <w:semiHidden/>
    <w:rsid w:val="0052640A"/>
  </w:style>
  <w:style w:type="character" w:styleId="HTMLAcronym">
    <w:name w:val="HTML Acronym"/>
    <w:semiHidden/>
    <w:rsid w:val="0052640A"/>
    <w:rPr>
      <w:rFonts w:ascii="Calibri" w:hAnsi="Calibri"/>
    </w:rPr>
  </w:style>
  <w:style w:type="paragraph" w:styleId="HTMLAddress">
    <w:name w:val="HTML Address"/>
    <w:basedOn w:val="Normal"/>
    <w:link w:val="HTMLAddressChar"/>
    <w:semiHidden/>
    <w:rsid w:val="0052640A"/>
    <w:rPr>
      <w:i/>
      <w:iCs/>
    </w:rPr>
  </w:style>
  <w:style w:type="character" w:customStyle="1" w:styleId="HTMLAddressChar">
    <w:name w:val="HTML Address Char"/>
    <w:basedOn w:val="DefaultParagraphFont"/>
    <w:link w:val="HTMLAddress"/>
    <w:semiHidden/>
    <w:rsid w:val="0052640A"/>
    <w:rPr>
      <w:rFonts w:ascii="Arial" w:eastAsiaTheme="minorHAnsi" w:hAnsi="Arial"/>
      <w:i/>
      <w:iCs/>
      <w:kern w:val="2"/>
      <w:sz w:val="20"/>
      <w:szCs w:val="20"/>
      <w:lang w:eastAsia="en-US"/>
      <w14:ligatures w14:val="standardContextual"/>
    </w:rPr>
  </w:style>
  <w:style w:type="character" w:styleId="HTMLCite">
    <w:name w:val="HTML Cite"/>
    <w:semiHidden/>
    <w:rsid w:val="0052640A"/>
    <w:rPr>
      <w:rFonts w:ascii="Calibri" w:hAnsi="Calibri"/>
      <w:i/>
      <w:iCs/>
    </w:rPr>
  </w:style>
  <w:style w:type="character" w:styleId="HTMLCode">
    <w:name w:val="HTML Code"/>
    <w:semiHidden/>
    <w:rsid w:val="0052640A"/>
    <w:rPr>
      <w:rFonts w:ascii="Calibri" w:hAnsi="Calibri" w:cs="Courier New"/>
      <w:sz w:val="20"/>
      <w:szCs w:val="20"/>
    </w:rPr>
  </w:style>
  <w:style w:type="character" w:styleId="HTMLDefinition">
    <w:name w:val="HTML Definition"/>
    <w:semiHidden/>
    <w:rsid w:val="0052640A"/>
    <w:rPr>
      <w:rFonts w:ascii="Calibri" w:hAnsi="Calibri"/>
      <w:i/>
      <w:iCs/>
    </w:rPr>
  </w:style>
  <w:style w:type="character" w:styleId="HTMLKeyboard">
    <w:name w:val="HTML Keyboard"/>
    <w:semiHidden/>
    <w:rsid w:val="0052640A"/>
    <w:rPr>
      <w:rFonts w:ascii="Calibri" w:hAnsi="Calibri" w:cs="Courier New"/>
      <w:sz w:val="20"/>
      <w:szCs w:val="20"/>
    </w:rPr>
  </w:style>
  <w:style w:type="paragraph" w:styleId="HTMLPreformatted">
    <w:name w:val="HTML Preformatted"/>
    <w:basedOn w:val="Normal"/>
    <w:link w:val="HTMLPreformattedChar"/>
    <w:semiHidden/>
    <w:rsid w:val="0052640A"/>
    <w:rPr>
      <w:rFonts w:cs="Courier New"/>
    </w:rPr>
  </w:style>
  <w:style w:type="character" w:customStyle="1" w:styleId="HTMLPreformattedChar">
    <w:name w:val="HTML Preformatted Char"/>
    <w:basedOn w:val="DefaultParagraphFont"/>
    <w:link w:val="HTMLPreformatted"/>
    <w:semiHidden/>
    <w:rsid w:val="0052640A"/>
    <w:rPr>
      <w:rFonts w:ascii="Arial" w:eastAsiaTheme="minorHAnsi" w:hAnsi="Arial" w:cs="Courier New"/>
      <w:kern w:val="2"/>
      <w:sz w:val="20"/>
      <w:szCs w:val="20"/>
      <w:lang w:eastAsia="en-US"/>
      <w14:ligatures w14:val="standardContextual"/>
    </w:rPr>
  </w:style>
  <w:style w:type="character" w:styleId="HTMLSample">
    <w:name w:val="HTML Sample"/>
    <w:semiHidden/>
    <w:rsid w:val="0052640A"/>
    <w:rPr>
      <w:rFonts w:ascii="Calibri" w:hAnsi="Calibri" w:cs="Courier New"/>
    </w:rPr>
  </w:style>
  <w:style w:type="character" w:styleId="HTMLTypewriter">
    <w:name w:val="HTML Typewriter"/>
    <w:semiHidden/>
    <w:rsid w:val="0052640A"/>
    <w:rPr>
      <w:rFonts w:ascii="Calibri" w:hAnsi="Calibri" w:cs="Courier New"/>
      <w:sz w:val="20"/>
      <w:szCs w:val="20"/>
    </w:rPr>
  </w:style>
  <w:style w:type="character" w:styleId="HTMLVariable">
    <w:name w:val="HTML Variable"/>
    <w:semiHidden/>
    <w:rsid w:val="0052640A"/>
    <w:rPr>
      <w:rFonts w:ascii="Calibri" w:hAnsi="Calibri"/>
      <w:i/>
      <w:iCs/>
    </w:rPr>
  </w:style>
  <w:style w:type="numbering" w:styleId="1ai">
    <w:name w:val="Outline List 1"/>
    <w:basedOn w:val="NoList"/>
    <w:semiHidden/>
    <w:rsid w:val="0052640A"/>
    <w:pPr>
      <w:numPr>
        <w:numId w:val="39"/>
      </w:numPr>
    </w:pPr>
  </w:style>
  <w:style w:type="numbering" w:styleId="111111">
    <w:name w:val="Outline List 2"/>
    <w:basedOn w:val="NoList"/>
    <w:semiHidden/>
    <w:rsid w:val="0052640A"/>
    <w:pPr>
      <w:numPr>
        <w:numId w:val="40"/>
      </w:numPr>
    </w:pPr>
  </w:style>
  <w:style w:type="numbering" w:styleId="ArticleSection">
    <w:name w:val="Outline List 3"/>
    <w:basedOn w:val="NoList"/>
    <w:semiHidden/>
    <w:rsid w:val="0052640A"/>
    <w:pPr>
      <w:numPr>
        <w:numId w:val="41"/>
      </w:numPr>
    </w:pPr>
  </w:style>
  <w:style w:type="table" w:styleId="TableSimple1">
    <w:name w:val="Table Simple 1"/>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2640A"/>
    <w:pPr>
      <w:spacing w:after="240" w:line="259" w:lineRule="auto"/>
    </w:pPr>
    <w:rPr>
      <w:rFonts w:ascii="Arial" w:eastAsiaTheme="minorHAnsi" w:hAnsi="Arial"/>
      <w:kern w:val="2"/>
      <w:sz w:val="20"/>
      <w:szCs w:val="20"/>
      <w14:ligatures w14:val="standardContextu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2640A"/>
    <w:pPr>
      <w:spacing w:after="240" w:line="259" w:lineRule="auto"/>
    </w:pPr>
    <w:rPr>
      <w:rFonts w:ascii="Arial" w:eastAsiaTheme="minorHAnsi" w:hAnsi="Arial"/>
      <w:color w:val="000080"/>
      <w:kern w:val="2"/>
      <w:sz w:val="20"/>
      <w:szCs w:val="20"/>
      <w14:ligatures w14:val="standardContextua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52640A"/>
    <w:pPr>
      <w:spacing w:after="240" w:line="259" w:lineRule="auto"/>
    </w:pPr>
    <w:rPr>
      <w:rFonts w:ascii="Arial" w:eastAsiaTheme="minorHAnsi" w:hAnsi="Arial"/>
      <w:color w:val="FFFFFF"/>
      <w:kern w:val="2"/>
      <w:sz w:val="20"/>
      <w:szCs w:val="20"/>
      <w14:ligatures w14:val="standardContextua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52640A"/>
    <w:pPr>
      <w:spacing w:after="240" w:line="259" w:lineRule="auto"/>
    </w:pPr>
    <w:rPr>
      <w:rFonts w:ascii="Arial" w:eastAsiaTheme="minorHAnsi" w:hAnsi="Arial"/>
      <w:kern w:val="2"/>
      <w:sz w:val="20"/>
      <w:szCs w:val="20"/>
      <w14:ligatures w14:val="standardContextu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2640A"/>
    <w:pPr>
      <w:spacing w:after="240" w:line="259" w:lineRule="auto"/>
    </w:pPr>
    <w:rPr>
      <w:rFonts w:ascii="Arial" w:eastAsiaTheme="minorHAnsi" w:hAnsi="Arial"/>
      <w:b/>
      <w:bCs/>
      <w:kern w:val="2"/>
      <w:sz w:val="20"/>
      <w:szCs w:val="20"/>
      <w14:ligatures w14:val="standardContextua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2640A"/>
    <w:pPr>
      <w:spacing w:after="240" w:line="259" w:lineRule="auto"/>
    </w:pPr>
    <w:rPr>
      <w:rFonts w:ascii="Arial" w:eastAsiaTheme="minorHAnsi" w:hAnsi="Arial"/>
      <w:b/>
      <w:bCs/>
      <w:kern w:val="2"/>
      <w:sz w:val="20"/>
      <w:szCs w:val="20"/>
      <w14:ligatures w14:val="standardContextual"/>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2640A"/>
    <w:pPr>
      <w:spacing w:after="240" w:line="259" w:lineRule="auto"/>
    </w:pPr>
    <w:rPr>
      <w:rFonts w:ascii="Arial" w:eastAsiaTheme="minorHAnsi" w:hAnsi="Arial"/>
      <w:b/>
      <w:bCs/>
      <w:kern w:val="2"/>
      <w:sz w:val="20"/>
      <w:szCs w:val="20"/>
      <w14:ligatures w14:val="standardContextua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2640A"/>
    <w:pPr>
      <w:spacing w:after="240" w:line="259" w:lineRule="auto"/>
    </w:pPr>
    <w:rPr>
      <w:rFonts w:ascii="Arial" w:eastAsiaTheme="minorHAnsi" w:hAnsi="Arial"/>
      <w:kern w:val="2"/>
      <w:sz w:val="20"/>
      <w:szCs w:val="20"/>
      <w14:ligatures w14:val="standardContextu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2640A"/>
    <w:pPr>
      <w:spacing w:after="240" w:line="259" w:lineRule="auto"/>
    </w:pPr>
    <w:rPr>
      <w:rFonts w:ascii="Arial" w:eastAsiaTheme="minorHAnsi" w:hAnsi="Arial"/>
      <w:kern w:val="2"/>
      <w:sz w:val="20"/>
      <w:szCs w:val="20"/>
      <w14:ligatures w14:val="standardContextu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2640A"/>
    <w:pPr>
      <w:spacing w:after="240" w:line="259" w:lineRule="auto"/>
    </w:pPr>
    <w:rPr>
      <w:rFonts w:ascii="Arial" w:eastAsiaTheme="minorHAnsi" w:hAnsi="Arial"/>
      <w:kern w:val="2"/>
      <w:sz w:val="20"/>
      <w:szCs w:val="20"/>
      <w14:ligatures w14:val="standardContextu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2640A"/>
    <w:pPr>
      <w:spacing w:after="240" w:line="259" w:lineRule="auto"/>
    </w:pPr>
    <w:rPr>
      <w:rFonts w:ascii="Arial" w:eastAsiaTheme="minorHAnsi" w:hAnsi="Arial"/>
      <w:kern w:val="2"/>
      <w:sz w:val="20"/>
      <w:szCs w:val="20"/>
      <w14:ligatures w14:val="standardContextu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2640A"/>
    <w:pPr>
      <w:spacing w:after="240" w:line="259" w:lineRule="auto"/>
    </w:pPr>
    <w:rPr>
      <w:rFonts w:ascii="Arial" w:eastAsiaTheme="minorHAnsi" w:hAnsi="Arial"/>
      <w:b/>
      <w:bCs/>
      <w:kern w:val="2"/>
      <w:sz w:val="20"/>
      <w:szCs w:val="20"/>
      <w14:ligatures w14:val="standardContextu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2640A"/>
    <w:pPr>
      <w:spacing w:after="240" w:line="259" w:lineRule="auto"/>
    </w:pPr>
    <w:rPr>
      <w:rFonts w:ascii="Arial" w:eastAsiaTheme="minorHAnsi" w:hAnsi="Arial"/>
      <w:kern w:val="2"/>
      <w:sz w:val="20"/>
      <w:szCs w:val="20"/>
      <w14:ligatures w14:val="standardContextu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2640A"/>
    <w:pPr>
      <w:spacing w:after="240" w:line="259" w:lineRule="auto"/>
    </w:pPr>
    <w:rPr>
      <w:rFonts w:ascii="Arial" w:eastAsiaTheme="minorHAnsi" w:hAnsi="Arial"/>
      <w:kern w:val="2"/>
      <w:sz w:val="20"/>
      <w:szCs w:val="20"/>
      <w14:ligatures w14:val="standardContextu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2640A"/>
    <w:pPr>
      <w:spacing w:after="240" w:line="259" w:lineRule="auto"/>
    </w:pPr>
    <w:rPr>
      <w:rFonts w:ascii="Arial" w:eastAsiaTheme="minorHAnsi" w:hAnsi="Arial"/>
      <w:kern w:val="2"/>
      <w:sz w:val="20"/>
      <w:szCs w:val="20"/>
      <w14:ligatures w14:val="standardContextu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2640A"/>
    <w:pPr>
      <w:spacing w:after="240" w:line="259" w:lineRule="auto"/>
    </w:pPr>
    <w:rPr>
      <w:rFonts w:ascii="Arial" w:eastAsiaTheme="minorHAnsi" w:hAnsi="Arial"/>
      <w:kern w:val="2"/>
      <w:sz w:val="20"/>
      <w:szCs w:val="20"/>
      <w14:ligatures w14:val="standardContextu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2640A"/>
    <w:pPr>
      <w:spacing w:after="240" w:line="259" w:lineRule="auto"/>
    </w:pPr>
    <w:rPr>
      <w:rFonts w:ascii="Arial" w:eastAsiaTheme="minorHAnsi" w:hAnsi="Arial"/>
      <w:kern w:val="2"/>
      <w:sz w:val="20"/>
      <w:szCs w:val="20"/>
      <w14:ligatures w14:val="standardContextu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52640A"/>
    <w:pPr>
      <w:spacing w:after="240" w:line="259" w:lineRule="auto"/>
    </w:pPr>
    <w:rPr>
      <w:rFonts w:ascii="Arial" w:eastAsiaTheme="minorHAnsi" w:hAnsi="Arial"/>
      <w:kern w:val="2"/>
      <w:sz w:val="20"/>
      <w:szCs w:val="20"/>
      <w14:ligatures w14:val="standardContextu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2640A"/>
    <w:pPr>
      <w:spacing w:after="240" w:line="259" w:lineRule="auto"/>
    </w:pPr>
    <w:rPr>
      <w:rFonts w:ascii="Arial" w:eastAsiaTheme="minorHAnsi" w:hAnsi="Arial"/>
      <w:kern w:val="2"/>
      <w:sz w:val="20"/>
      <w:szCs w:val="20"/>
      <w14:ligatures w14:val="standardContextu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2640A"/>
    <w:pPr>
      <w:spacing w:after="240" w:line="259" w:lineRule="auto"/>
    </w:pPr>
    <w:rPr>
      <w:rFonts w:ascii="Arial" w:eastAsiaTheme="minorHAnsi" w:hAnsi="Arial"/>
      <w:kern w:val="2"/>
      <w:sz w:val="20"/>
      <w:szCs w:val="20"/>
      <w14:ligatures w14:val="standardContextu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2640A"/>
    <w:pPr>
      <w:spacing w:after="240" w:line="259" w:lineRule="auto"/>
    </w:pPr>
    <w:rPr>
      <w:rFonts w:ascii="Arial" w:eastAsiaTheme="minorHAnsi" w:hAnsi="Arial"/>
      <w:kern w:val="2"/>
      <w:sz w:val="20"/>
      <w:szCs w:val="20"/>
      <w14:ligatures w14:val="standardContextu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2640A"/>
    <w:pPr>
      <w:spacing w:after="240" w:line="259" w:lineRule="auto"/>
    </w:pPr>
    <w:rPr>
      <w:rFonts w:ascii="Arial" w:eastAsiaTheme="minorHAnsi" w:hAnsi="Arial"/>
      <w:kern w:val="2"/>
      <w:sz w:val="20"/>
      <w:szCs w:val="20"/>
      <w14:ligatures w14:val="standardContextu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2640A"/>
    <w:pPr>
      <w:spacing w:after="240" w:line="259" w:lineRule="auto"/>
    </w:pPr>
    <w:rPr>
      <w:rFonts w:ascii="Arial" w:eastAsiaTheme="minorHAnsi" w:hAnsi="Arial"/>
      <w:kern w:val="2"/>
      <w:sz w:val="20"/>
      <w:szCs w:val="20"/>
      <w14:ligatures w14:val="standardContextu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2640A"/>
    <w:pPr>
      <w:spacing w:after="240" w:line="259" w:lineRule="auto"/>
    </w:pPr>
    <w:rPr>
      <w:rFonts w:ascii="Arial" w:eastAsiaTheme="minorHAnsi" w:hAnsi="Arial"/>
      <w:kern w:val="2"/>
      <w:sz w:val="20"/>
      <w:szCs w:val="20"/>
      <w14:ligatures w14:val="standardContextu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2640A"/>
    <w:pPr>
      <w:spacing w:after="240" w:line="259" w:lineRule="auto"/>
    </w:pPr>
    <w:rPr>
      <w:rFonts w:ascii="Arial" w:eastAsiaTheme="minorHAnsi" w:hAnsi="Arial"/>
      <w:kern w:val="2"/>
      <w:sz w:val="20"/>
      <w:szCs w:val="20"/>
      <w14:ligatures w14:val="standardContextu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2640A"/>
    <w:pPr>
      <w:spacing w:after="240" w:line="259" w:lineRule="auto"/>
    </w:pPr>
    <w:rPr>
      <w:rFonts w:ascii="Arial" w:eastAsiaTheme="minorHAnsi" w:hAnsi="Arial"/>
      <w:kern w:val="2"/>
      <w:sz w:val="20"/>
      <w:szCs w:val="20"/>
      <w14:ligatures w14:val="standardContextu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2640A"/>
    <w:pPr>
      <w:spacing w:after="240" w:line="259" w:lineRule="auto"/>
    </w:pPr>
    <w:rPr>
      <w:rFonts w:ascii="Arial" w:eastAsiaTheme="minorHAnsi" w:hAnsi="Arial"/>
      <w:kern w:val="2"/>
      <w:sz w:val="20"/>
      <w:szCs w:val="20"/>
      <w14:ligatures w14:val="standardContextu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rsid w:val="0052640A"/>
    <w:pPr>
      <w:spacing w:after="240" w:line="259" w:lineRule="auto"/>
    </w:pPr>
    <w:rPr>
      <w:rFonts w:ascii="Arial" w:eastAsiaTheme="minorHAnsi" w:hAnsi="Arial"/>
      <w:kern w:val="2"/>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qFormat/>
    <w:rsid w:val="005E3A7F"/>
    <w:pPr>
      <w:pBdr>
        <w:top w:val="nil"/>
        <w:left w:val="nil"/>
        <w:bottom w:val="nil"/>
        <w:right w:val="nil"/>
        <w:between w:val="nil"/>
      </w:pBdr>
      <w:suppressAutoHyphens/>
      <w:spacing w:after="240" w:line="240" w:lineRule="auto"/>
    </w:pPr>
    <w:rPr>
      <w:rFonts w:eastAsia="Helvetica Neue Light" w:cs="Helvetica Neue Light"/>
      <w:color w:val="000000"/>
      <w:kern w:val="0"/>
      <w:lang w:eastAsia="en-GB"/>
      <w14:ligatures w14:val="none"/>
    </w:rPr>
  </w:style>
  <w:style w:type="paragraph" w:customStyle="1" w:styleId="Heading2-NotToC">
    <w:name w:val="Heading 2 - Not ToC"/>
    <w:basedOn w:val="Heading2"/>
    <w:qFormat/>
    <w:rsid w:val="00710321"/>
    <w:pPr>
      <w:numPr>
        <w:ilvl w:val="0"/>
        <w:numId w:val="0"/>
      </w:numPr>
      <w:tabs>
        <w:tab w:val="left" w:pos="851"/>
      </w:tabs>
      <w:spacing w:before="120" w:line="240" w:lineRule="auto"/>
    </w:pPr>
    <w:rPr>
      <w:rFonts w:eastAsia="Helvetica Neue Light" w:cs="Helvetica Neue Light"/>
      <w:color w:val="C0504D" w:themeColor="accent2"/>
      <w:kern w:val="0"/>
      <w:sz w:val="32"/>
      <w:szCs w:val="32"/>
      <w:lang w:eastAsia="en-GB"/>
      <w14:ligatures w14:val="none"/>
    </w:rPr>
  </w:style>
  <w:style w:type="paragraph" w:styleId="Revision">
    <w:name w:val="Revision"/>
    <w:hidden/>
    <w:uiPriority w:val="99"/>
    <w:semiHidden/>
    <w:rsid w:val="00916ABD"/>
    <w:pPr>
      <w:spacing w:after="0" w:line="240" w:lineRule="auto"/>
    </w:pPr>
    <w:rPr>
      <w:rFonts w:eastAsiaTheme="minorHAnsi"/>
      <w:kern w:val="2"/>
      <w:lang w:eastAsia="en-US"/>
      <w14:ligatures w14:val="standardContextual"/>
    </w:rPr>
  </w:style>
  <w:style w:type="character" w:styleId="UnresolvedMention">
    <w:name w:val="Unresolved Mention"/>
    <w:basedOn w:val="DefaultParagraphFont"/>
    <w:uiPriority w:val="99"/>
    <w:rsid w:val="008B57E7"/>
    <w:rPr>
      <w:color w:val="605E5C"/>
      <w:shd w:val="clear" w:color="auto" w:fill="E1DFDD"/>
    </w:rPr>
  </w:style>
  <w:style w:type="paragraph" w:customStyle="1" w:styleId="xmsonormal">
    <w:name w:val="x_msonormal"/>
    <w:basedOn w:val="Normal"/>
    <w:rsid w:val="008202BE"/>
    <w:pPr>
      <w:spacing w:after="0" w:line="240" w:lineRule="auto"/>
    </w:pPr>
    <w:rPr>
      <w:rFonts w:ascii="Calibri" w:hAnsi="Calibri" w:cs="Calibri"/>
      <w:kern w:val="0"/>
      <w:lang w:eastAsia="en-GB"/>
      <w14:ligatures w14:val="none"/>
    </w:rPr>
  </w:style>
  <w:style w:type="character" w:styleId="Mention">
    <w:name w:val="Mention"/>
    <w:basedOn w:val="DefaultParagraphFont"/>
    <w:uiPriority w:val="99"/>
    <w:rsid w:val="00AA68CC"/>
    <w:rPr>
      <w:color w:val="2B579A"/>
      <w:shd w:val="clear" w:color="auto" w:fill="E1DFDD"/>
    </w:rPr>
  </w:style>
  <w:style w:type="paragraph" w:customStyle="1" w:styleId="pf0">
    <w:name w:val="pf0"/>
    <w:basedOn w:val="Normal"/>
    <w:rsid w:val="00F23D6B"/>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cf01">
    <w:name w:val="cf01"/>
    <w:basedOn w:val="DefaultParagraphFont"/>
    <w:rsid w:val="00F23D6B"/>
    <w:rPr>
      <w:rFonts w:ascii="Segoe UI" w:hAnsi="Segoe UI" w:cs="Segoe UI" w:hint="default"/>
      <w:sz w:val="18"/>
      <w:szCs w:val="18"/>
    </w:rPr>
  </w:style>
  <w:style w:type="character" w:styleId="Strong">
    <w:name w:val="Strong"/>
    <w:basedOn w:val="DefaultParagraphFont"/>
    <w:uiPriority w:val="22"/>
    <w:qFormat/>
    <w:rsid w:val="00255344"/>
    <w:rPr>
      <w:b/>
      <w:bCs/>
    </w:rPr>
  </w:style>
  <w:style w:type="character" w:customStyle="1" w:styleId="ListParagraphChar">
    <w:name w:val="List Paragraph Char"/>
    <w:basedOn w:val="DefaultParagraphFont"/>
    <w:link w:val="ListParagraph"/>
    <w:uiPriority w:val="34"/>
    <w:rsid w:val="00437D2F"/>
    <w:rPr>
      <w:rFonts w:eastAsiaTheme="minorHAnsi"/>
      <w:color w:val="000000"/>
      <w:kern w:val="2"/>
      <w:lang w:eastAsia="en-US"/>
      <w14:ligatures w14:val="standardContextual"/>
    </w:rPr>
  </w:style>
  <w:style w:type="paragraph" w:customStyle="1" w:styleId="2ndLevelIndent">
    <w:name w:val="2nd Level Indent"/>
    <w:link w:val="2ndLevelIndentChar"/>
    <w:qFormat/>
    <w:rsid w:val="002D6379"/>
    <w:pPr>
      <w:spacing w:after="120" w:line="276" w:lineRule="auto"/>
      <w:jc w:val="both"/>
    </w:pPr>
    <w:rPr>
      <w:rFonts w:ascii="Arial" w:eastAsia="Times New Roman" w:hAnsi="Arial" w:cs="Arial"/>
      <w:lang w:eastAsia="ar-SA"/>
    </w:rPr>
  </w:style>
  <w:style w:type="character" w:customStyle="1" w:styleId="2ndLevelIndentChar">
    <w:name w:val="2nd Level Indent Char"/>
    <w:basedOn w:val="DefaultParagraphFont"/>
    <w:link w:val="2ndLevelIndent"/>
    <w:rsid w:val="002D6379"/>
    <w:rPr>
      <w:rFonts w:ascii="Arial" w:eastAsia="Times New Roman" w:hAnsi="Arial" w:cs="Arial"/>
      <w:lang w:eastAsia="ar-SA"/>
    </w:rPr>
  </w:style>
  <w:style w:type="paragraph" w:styleId="TOCHeading">
    <w:name w:val="TOC Heading"/>
    <w:basedOn w:val="Heading1"/>
    <w:next w:val="Normal"/>
    <w:uiPriority w:val="39"/>
    <w:unhideWhenUsed/>
    <w:qFormat/>
    <w:rsid w:val="00EF4ADD"/>
    <w:pPr>
      <w:keepLines/>
      <w:numPr>
        <w:numId w:val="0"/>
      </w:numPr>
      <w:spacing w:before="240" w:after="0"/>
      <w:outlineLvl w:val="9"/>
    </w:pPr>
    <w:rPr>
      <w:rFonts w:asciiTheme="majorHAnsi" w:eastAsiaTheme="majorEastAsia" w:hAnsiTheme="majorHAnsi" w:cstheme="majorBidi"/>
      <w:b w:val="0"/>
      <w:color w:val="365F91" w:themeColor="accent1" w:themeShade="BF"/>
      <w:kern w:val="0"/>
      <w:sz w:val="32"/>
      <w:szCs w:val="3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59920">
      <w:bodyDiv w:val="1"/>
      <w:marLeft w:val="0"/>
      <w:marRight w:val="0"/>
      <w:marTop w:val="0"/>
      <w:marBottom w:val="0"/>
      <w:divBdr>
        <w:top w:val="none" w:sz="0" w:space="0" w:color="auto"/>
        <w:left w:val="none" w:sz="0" w:space="0" w:color="auto"/>
        <w:bottom w:val="none" w:sz="0" w:space="0" w:color="auto"/>
        <w:right w:val="none" w:sz="0" w:space="0" w:color="auto"/>
      </w:divBdr>
    </w:div>
    <w:div w:id="191723117">
      <w:bodyDiv w:val="1"/>
      <w:marLeft w:val="0"/>
      <w:marRight w:val="0"/>
      <w:marTop w:val="0"/>
      <w:marBottom w:val="0"/>
      <w:divBdr>
        <w:top w:val="none" w:sz="0" w:space="0" w:color="auto"/>
        <w:left w:val="none" w:sz="0" w:space="0" w:color="auto"/>
        <w:bottom w:val="none" w:sz="0" w:space="0" w:color="auto"/>
        <w:right w:val="none" w:sz="0" w:space="0" w:color="auto"/>
      </w:divBdr>
    </w:div>
    <w:div w:id="1092044373">
      <w:bodyDiv w:val="1"/>
      <w:marLeft w:val="0"/>
      <w:marRight w:val="0"/>
      <w:marTop w:val="0"/>
      <w:marBottom w:val="0"/>
      <w:divBdr>
        <w:top w:val="none" w:sz="0" w:space="0" w:color="auto"/>
        <w:left w:val="none" w:sz="0" w:space="0" w:color="auto"/>
        <w:bottom w:val="none" w:sz="0" w:space="0" w:color="auto"/>
        <w:right w:val="none" w:sz="0" w:space="0" w:color="auto"/>
      </w:divBdr>
    </w:div>
    <w:div w:id="1112702800">
      <w:bodyDiv w:val="1"/>
      <w:marLeft w:val="0"/>
      <w:marRight w:val="0"/>
      <w:marTop w:val="0"/>
      <w:marBottom w:val="0"/>
      <w:divBdr>
        <w:top w:val="none" w:sz="0" w:space="0" w:color="auto"/>
        <w:left w:val="none" w:sz="0" w:space="0" w:color="auto"/>
        <w:bottom w:val="none" w:sz="0" w:space="0" w:color="auto"/>
        <w:right w:val="none" w:sz="0" w:space="0" w:color="auto"/>
      </w:divBdr>
    </w:div>
    <w:div w:id="1249191586">
      <w:bodyDiv w:val="1"/>
      <w:marLeft w:val="0"/>
      <w:marRight w:val="0"/>
      <w:marTop w:val="0"/>
      <w:marBottom w:val="0"/>
      <w:divBdr>
        <w:top w:val="none" w:sz="0" w:space="0" w:color="auto"/>
        <w:left w:val="none" w:sz="0" w:space="0" w:color="auto"/>
        <w:bottom w:val="none" w:sz="0" w:space="0" w:color="auto"/>
        <w:right w:val="none" w:sz="0" w:space="0" w:color="auto"/>
      </w:divBdr>
    </w:div>
    <w:div w:id="1365058208">
      <w:bodyDiv w:val="1"/>
      <w:marLeft w:val="0"/>
      <w:marRight w:val="0"/>
      <w:marTop w:val="0"/>
      <w:marBottom w:val="0"/>
      <w:divBdr>
        <w:top w:val="none" w:sz="0" w:space="0" w:color="auto"/>
        <w:left w:val="none" w:sz="0" w:space="0" w:color="auto"/>
        <w:bottom w:val="none" w:sz="0" w:space="0" w:color="auto"/>
        <w:right w:val="none" w:sz="0" w:space="0" w:color="auto"/>
      </w:divBdr>
    </w:div>
    <w:div w:id="1367177991">
      <w:bodyDiv w:val="1"/>
      <w:marLeft w:val="0"/>
      <w:marRight w:val="0"/>
      <w:marTop w:val="0"/>
      <w:marBottom w:val="0"/>
      <w:divBdr>
        <w:top w:val="none" w:sz="0" w:space="0" w:color="auto"/>
        <w:left w:val="none" w:sz="0" w:space="0" w:color="auto"/>
        <w:bottom w:val="none" w:sz="0" w:space="0" w:color="auto"/>
        <w:right w:val="none" w:sz="0" w:space="0" w:color="auto"/>
      </w:divBdr>
    </w:div>
    <w:div w:id="1639610010">
      <w:bodyDiv w:val="1"/>
      <w:marLeft w:val="0"/>
      <w:marRight w:val="0"/>
      <w:marTop w:val="0"/>
      <w:marBottom w:val="0"/>
      <w:divBdr>
        <w:top w:val="none" w:sz="0" w:space="0" w:color="auto"/>
        <w:left w:val="none" w:sz="0" w:space="0" w:color="auto"/>
        <w:bottom w:val="none" w:sz="0" w:space="0" w:color="auto"/>
        <w:right w:val="none" w:sz="0" w:space="0" w:color="auto"/>
      </w:divBdr>
    </w:div>
    <w:div w:id="165171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uk.eu-supply.com/login.asp?timeout=1&amp;target=/app/rfq/edittransaction.asp?TID=73759&amp;B=UK"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gov.uk/government/publications/procurement-act-2023-short-guides/procurement-review-unit-a-short-guide-html"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find-tender.service.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n-document xmlns:xsd="http://www.w3.org/2001/XMLSchema" xmlns:xsi="http://www.w3.org/2001/XMLSchema-instance" guid="0" synced="true" validated="true">
  <n-docbody>
    <standard.doc precedenttype="agreement">
      <prelim>
        <product.name>product.name0</product.name>
        <title>Invitation to tender (PCR 2015)</title>
        <author>
          <link href="http://uk.practicallaw.com/about/our-team/uk-public-sector" style="ACTLinkURL">
            <ital>Practical Law Public Sector</ital>
          </link>
        </author>
        <resource.type>Standard documents</resource.type>
        <juris>juris0</juris>
        <juris>juris1</juris>
      </prelim>
      <abstract>
        <para>
          <paratext>
            A standard invitation to tender (ITT) document that can be used by a contracting authority purchasing services in accordance with the Public Contracts Regulations 2015 (
            <ital>SI 2015/102</ital>
            ).
          </paratext>
        </para>
        <para>
          <paratext>
            The second part of the ITT, the questions for tenderers, is contained in 
            <link href="4-599-9626" style="ACTLinkPLCtoPLC">
              <ital>Standard document, Invitation to tender (PCR 2015): questions for tenderers</ital>
            </link>
            .
          </paratext>
        </para>
      </abstract>
      <toc.identifier hasToc="true"/>
      <body>
        <cover.sheet>
          <head align="left" preservecase="true">
            <headtext>Invitation to tender</headtext>
          </head>
        </cover.sheet>
        <operative xrefname="paragraph">
          <drafting.note id="a616979" jurisdiction="">
            <head align="left" preservecase="true">
              <headtext>General document notes</headtext>
            </head>
            <division id="a000002" level="1">
              <para>
                <paratext>
                  This invitation to tender (ITT) is intended for use by public sector bodies for procurements which are regulated by the 
                  <link href="4-600-4052" style="ACTLinkPLCtoPLC">
                    <ital>Public Contracts Regulations 2015 (SI 2015/102)</ital>
                  </link>
                   (PCR 2015). Specifically, this ITT assumes the 
                  <link href="8-385-1376" style="ACTLinkPLCtoPLC">
                    <bold>
                      <ital>restricted procedure</ital>
                    </bold>
                  </link>
                   is being adopted to purchase services.
                </paratext>
              </para>
              <para>
                <paratext>However, the ITT can be adapted for use in:</paratext>
              </para>
              <list type="bulleted">
                <list.item>
                  <para>
                    <paratext>
                      A competitive procedure with negotiation, where the Tenderers are invited to submit an initial tender, and may then carry out negotiations on that and any subsequent tenders until Tenderers are invited to submit a final tender. For more information, see 
                      <link anchor="a360313" href="4-599-9645" style="ACTLinkPLCtoPLC">
                        <ital>Practice note, New and revised public procurement procedures (PCR 2015): Competitive procedure with negotiation</ital>
                      </link>
                      .
                    </paratext>
                  </para>
                </list.item>
                <list.item>
                  <para>
                    <paratext>
                      An open procedure, for example, by including the selection criteria specified in the 
                      <link href="2-385-1379" style="ACTLinkPLCtoPLC">
                        <bold>
                          <ital>selection questionnaire</ital>
                        </bold>
                      </link>
                       (SQ) or for the purchase of goods. For more information, see 
                      <ital> </ital>
                      <link href="7-579-9145" style="ACTLinkPLCtoPLC">
                        <ital>Practice note, Selection criteria and standard selection questionnaires (SQs)</ital>
                      </link>
                      .
                    </paratext>
                  </para>
                </list.item>
              </list>
              <para>
                <paratext>The ITT includes a number of sections that can be deleted if they are not relevant. The drafting notes assist users in identifying these sections.</paratext>
              </para>
              <para>
                <paratext>
                  The ITT can be adapted for use for below threshold or procurements under 
                  <link href="8-601-2385" style="ACTLinkPLCtoPLC">
                    <ital>Schedule 3</ital>
                  </link>
                   to the PCR 2015. Further amendments may be made (for example, to shorten the document). However, authorities should ensure they comply with obligations applicable to such contracts when adapting this document, see 
                  <link href="7-600-9425" style="ACTLinkPLCtoPLC">
                    <ital>Practice notes, Light touch public procurement regime (PCR 2015)</ital>
                  </link>
                  , 
                  <link href="5-601-8505" style="ACTLinkPLCtoPLC">
                    <ital>Additional requirements for below and above threshold contracts (Part 4, PCR 2015)</ital>
                  </link>
                   and 
                  <link href="2-386-8761" style="ACTLinkPLCtoPLC">
                    <ital>Evaluation of tenders</ital>
                  </link>
                  .
                </paratext>
              </para>
            </division>
          </drafting.note>
          <clause id="a000003">
            <para>
              <paratext>
                <table frame="all" pgwide="1">
                  <tgroup cols="1">
                    <colspec colname="1" colnum="1" colwidth="100"/>
                    <tbody>
                      <row>
                        <entry valign="top">
                          <para align="center">
                            <paratext>NAME OF AUTHORITY:</paratext>
                          </para>
                        </entry>
                      </row>
                      <row>
                        <entry valign="top">
                          <para align="center">
                            <paratext>TENDER FOR: [NAME OF SERVICE]</paratext>
                          </para>
                        </entry>
                      </row>
                      <row>
                        <entry valign="top">
                          <para align="center">
                            <paratext>CONTRACT NOTICE REFERENCE NUMBER</paratext>
                          </para>
                        </entry>
                      </row>
                      <row>
                        <entry valign="top">
                          <para align="center">
                            <paratext>TENDER RETURN DATE AND TIME (DEADLINE): [DATE AND TIME]</paratext>
                          </para>
                        </entry>
                      </row>
                    </tbody>
                  </tgroup>
                </table>
              </paratext>
            </para>
          </clause>
          <clause id="a1033551">
            <identifier>1.</identifier>
            <head align="left" preservecase="true">
              <headtext>Introduction and background</headtext>
            </head>
            <subclause1 id="a770563">
              <identifier>1.1</identifier>
              <para>
                <paratext>
                  <bold>Contents of the ITT</bold>
                </paratext>
              </para>
              <para>
                <paratext>
                  This invitation to tender (
                  <defn.term>ITT</defn.term>
                  ) comprises:
                </paratext>
              </para>
              <list type="bulleted">
                <list.item>
                  <para>
                    <paratext>Tender completion requirements, evaluation model, specification and schedules.</paratext>
                  </para>
                </list.item>
                <list.item>
                  <para>
                    <paratext>
                      [Draft contract (
                      <bold>Contract</bold>
                      ) and schedules.]
                    </paratext>
                  </para>
                </list.item>
                <list.item>
                  <para>
                    <paratext>[Technical and commercial questions.]</paratext>
                  </para>
                </list.item>
              </list>
            </subclause1>
            <subclause1 id="a293949">
              <identifier>1.2</identifier>
              <para>
                <paratext>
                  <bold>Introduction to the Authority</bold>
                </paratext>
              </para>
              <para>
                <paratext>
                  The Authority is conducting the procurement using the restricted procedure in accordance with the requirements of the Public Contracts Regulations 2015 (
                  <ital>SI 2015/102</ital>
                  ) (PCR 2015) for the purpose of procuring the services described in the Specification (
                  <defn.term>Services</defn.term>
                  ).
                </paratext>
              </para>
              <para>
                <paratext>
                  Interested parties completed the selection questionnaire (
                  <defn.term>SQ</defn.term>
                  ), which sought responses in relation to their technical capacity or professional ability, and their economic and financial standing. The Authority evaluated the SQ responses and selected the [NUMBER] highest ranking qualified candidates. This ITT should be completed by those suppliers (
                  <defn.term>Tenderers</defn.term>
                  ).
                </paratext>
              </para>
              <para>
                <paratext>
                  This ITT contains further information about the procurement process, the Services, and assessment questions for Tenderers to complete. Each Tenderer's response (
                  <defn.term>Tender</defn.term>
                  ) should be sufficiently detailed to allow the Authority to make an informed selection of the most appropriate solution.
                </paratext>
              </para>
              <para>
                <paratext>[DESCRIBE THE BACKGROUND TO THE AUTHORITY, AND ITS ACTIVITIES AND ORGANISATION. EXPLAIN THE AUTHORITY'S VISION, VALUES AND STRATEGIC OBJECTIVES]</paratext>
              </para>
              <drafting.note id="a453832" jurisdiction="">
                <head align="left" preservecase="true">
                  <headtext>Selling the Authority</headtext>
                </head>
                <division id="a000004" level="1">
                  <para>
                    <paratext>This section of the ITT is an opportunity for the Authority to sell itself to the supplier market. It should show that it has an understanding of the market and its drivers and, if there is restricted capacity in the market or other supply block, the Authority should tailor its description of the Services to appeal to the market.</paratext>
                  </para>
                  <para>
                    <paratext>
                      For information on consulting the market, see 
                      <link href="5-519-8003" style="ACTLinkPLCtoPLC">
                        <ital>Standard document, Public procurement: market consultation: questions for the supplier market</ital>
                      </link>
                      .
                    </paratext>
                  </para>
                </division>
              </drafting.note>
            </subclause1>
            <subclause1 id="a240542">
              <identifier>1.3</identifier>
              <para>
                <paratext>
                  <bold>Scope of the Project</bold>
                </paratext>
              </para>
              <para>
                <paratext>[DETAILS OF SERVICE OBJECTIVES OR OUTCOMES]</paratext>
              </para>
              <drafting.note id="a867808" jurisdiction="">
                <head align="left" preservecase="true">
                  <headtext>Providing for future changes</headtext>
                </head>
                <division id="a000005" level="1">
                  <para>
                    <paratext>The Authority should consider describing both its determined requirements, and those requirements which may become necessary during the life of the contract and which it may wish to include in the contract at a future date.</paratext>
                  </para>
                  <para>
                    <paratext>Regulation 72 of the PCR 2015 permits public contracts to be varied on certain grounds, including where the changes were provided for in the initial procurement documents in clear, precise and unequivocal review clauses, which may include price revision clauses or options, provided such clauses:</paratext>
                  </para>
                  <list type="bulleted">
                    <list.item>
                      <para>
                        <paratext>State the scope and nature of possible modifications or options as well as the conditions under which they may be used.</paratext>
                      </para>
                    </list.item>
                    <list.item>
                      <para>
                        <paratext>Do not provide for modifications or options that would alter the overall nature of the contract or the framework agreement.</paratext>
                      </para>
                    </list.item>
                  </list>
                  <para>
                    <paratext>
                      For more information, see 
                      <link href="1-516-8852#a649361" style="ACTLinkPLCtoPLC">
                        <ital>Practice note, Varying public contracts: Variations permitted by the Public Contracts Regulations 2015</ital>
                      </link>
                      .
                    </paratext>
                  </para>
                </division>
              </drafting.note>
              <para>
                <paratext>[DETAILS OF CURRENT ARRANGEMENTS]</paratext>
              </para>
              <drafting.note id="a884012" jurisdiction="">
                <head align="left" preservecase="true">
                  <headtext>Providing details of existing service or current arrangements</headtext>
                </head>
                <division id="a000006" level="1">
                  <para>
                    <paratext>It can be difficult to determine how much information to give about the existing service, particularly if the service is already outsourced and the information the Authority wants to provide may be commercially sensitive to the incumbent supplier.</paratext>
                  </para>
                  <para>
                    <paratext>
                      <internal.reference refid="a165427">Schedule 3</internal.reference>
                       assumes that the authority is able to provide some detail of the current service levels.
                    </paratext>
                  </para>
                  <para>
                    <paratext>
                      The Authority may take the view that it is entitled to disclose any information that it would be obliged to disclose if it received a request for the same under the 
                      <link href="4-505-6037" style="ACTLinkPLCtoPLC">
                        <ital>Freedom of Information Act 2000</ital>
                      </link>
                       (FOIA) (see 
                      <link href="0-200-9452" style="ACTLinkPLCtoPLC">
                        <ital>Practice note, Freedom of information</ital>
                      </link>
                      ). However, it should check whether any disclosure would breach any confidentiality obligations it has with its existing supplier and, if it is in any doubt, discuss its intentions with its existing supplier. If the Authority receives a freedom of information (FOI) request relating to the contract, it could find itself in the unenviable position of breaching the contract or FOIA. For more information see 
                      <link href="w-011-6127" style="ACTLinkPLCtoPLC">
                        <ital>Practice note, The application of FOIA exemptions and EIR exceptions to public procurement and public contracts information</ital>
                      </link>
                      .
                    </paratext>
                  </para>
                  <para>
                    <paratext>
                      For a standard clause covering disclosures of supplier information, see 
                      <link href="4-501-5075" style="ACTLinkPLCtoPLC">
                        <ital>Standard clause, Public sector boilerplate: Freedom of information</ital>
                      </link>
                      .
                    </paratext>
                  </para>
                </division>
              </drafting.note>
            </subclause1>
            <subclause1 id="a948100">
              <identifier>1.4</identifier>
              <para>
                <paratext>
                  <bold>Value of the contract</bold>
                </paratext>
              </para>
              <para>
                <paratext>The current service handles work to a value of £[AMOUNT] in [TIME FRAME].</paratext>
              </para>
              <para>
                <paratext>The anticipated value of the Services is approximately [DETAILS OF FORECAST SPEND].</paratext>
              </para>
              <para>
                <paratext>
                  [DETAILS OF ANY ANTICIPATED SAVINGS AND ANY THIRD PARTY USE OF THE AGREEMENT WHICH MAY HAVE AN IMPACT ON SPEND (see 
                  <internal.reference refid="a283267">paragraph 1.7</internal.reference>
                  ).]
                </paratext>
              </para>
              <para>
                <paratext>Details of current expenditure or potential future uptake are given in good faith as a guide to past purchasing and current planning to assist you in submitting your Tender. They should not be interpreted as an undertaking to purchase any goods or services to any particular value and do not form part of the Contract.</paratext>
              </para>
              <drafting.note id="a1026915" jurisdiction="">
                <head align="left" preservecase="true">
                  <headtext>Specifying a contract value and pricing evaluation</headtext>
                </head>
                <division id="a000007" level="1">
                  <para>
                    <paratext>Contracting authorities may be nervous of specifying a contract value for fear of attracting bids which are above, at or just below that value. However, this figure must be disclosed if bids are to be evaluated against it. There are two common methods of evaluating price, though these two basic models have many variants:</paratext>
                  </para>
                  <list type="bulleted">
                    <list.item>
                      <para>
                        <paratext>The authority sets a benchmark price, with all bids scored on a comparative basis against that price.</paratext>
                      </para>
                    </list.item>
                    <list.item>
                      <para>
                        <paratext>No benchmark is set and the lowest bid price scores the maximum marks available for the pricing element. All other prices are awarded scores depending on what percentage the lowest price is of their price.</paratext>
                      </para>
                    </list.item>
                  </list>
                  <para>
                    <paratext>
                      Where the Authority has a fixed budget, it may want to state that bids exceeding a specified limit will be deemed non-compliant and will be rejected. Otherwise it must rely on the award criteria to ensure it does not end up with a technically superior but unaffordable solution. For more information, see 
                      <link href="2-386-8761" style="ACTLinkPLCtoPLC">
                        <ital>Practice note, Evaluation of tenders</ital>
                      </link>
                      .
                    </paratext>
                  </para>
                  <para>
                    <paratext>The risk of encouraging bids which come in close to the specific value can be somewhat mitigated by:</paratext>
                  </para>
                  <list type="bulleted">
                    <list.item>
                      <para>
                        <paratext>Weighting the award criteria more on price than on the technical solution.</paratext>
                      </para>
                    </list.item>
                    <list.item>
                      <para>
                        <paratext>Including Evaluation Criteria on efficiencies and cost reduction.</paratext>
                      </para>
                    </list.item>
                  </list>
                  <para>
                    <paratext>
                      These criteria could either form part of the technical or the price evaluation, depending upon how they are phrased. The contract terms could also encourage efficiencies by operating a gain-share mechanism through which savings will be shared between the parties (see 
                      <link href="0-202-4551#a326019" style="ACTLinkPLCtoPLC">
                        <ital>Standard documents, Outsourcing agreement: long form: 15. Service improvement and technology refresh</ital>
                      </link>
                       and 
                      <link anchor="a675283" href="2-501-1525" style="ACTLinkPLCtoPLC">
                        <ital>Standard document, Services agreement for use by public sector bodies: 18. Change control, benchmarking and continuous improvement</ital>
                      </link>
                      ).
                    </paratext>
                  </para>
                  <para>
                    <paratext>
                      If the Authority proposes to use a life cycle costing approach to assessing value for money, it must provide details of its approach in the procurement documents (see 
                      <link href="2-386-8761" style="ACTLinkPLCtoPLC">
                        <ital>Practice note, Evaluation of tenders</ital>
                      </link>
                      ).
                    </paratext>
                  </para>
                  <para>
                    <paratext>If the Authority is permitting any third party organisations to use the contract (whether by procuring on their behalf or under a framework arrangement), the Authority must ensure the contract scope and value specified in the ITT and the contract notice reflects that potential spend.</paratext>
                  </para>
                </division>
              </drafting.note>
            </subclause1>
            <subclause1 id="a296540">
              <identifier>1.5</identifier>
              <para>
                <paratext>
                  <bold>Contract term</bold>
                </paratext>
              </para>
              <para>
                <paratext>
                  The Authority proposes to enter into one [or more] Contract(s) for a maximum period of [NUMBER] [months 
                  <bold>OR</bold>
                   years] with the successful Tenderer (
                  <defn.term>Service Provider</defn.term>
                  ).
                </paratext>
              </para>
              <para>
                <paratext>The anticipated service commencement date is [DATE].</paratext>
              </para>
              <drafting.note id="a1022790" jurisdiction="">
                <head align="left" preservecase="true">
                  <headtext>Contract term</headtext>
                </head>
                <division id="a000008" level="1">
                  <para>
                    <paratext>The appropriate duration of the Contract is a key issue. It is important to ensure it is relevant to the particular service to ensure maximum value for money. If the contract term will allow for extensions, be aware that Tenderers are likely to propose cost models which are more favourable to the Authority during the extension period and, therefore, encourage them to extend. In this way, savings may only be made in the latter years of the contract.</paratext>
                  </para>
                </division>
              </drafting.note>
              <subclause2 condition="optional" id="a566462">
                <identifier>(a)</identifier>
                <para>
                  <paratext>
                    [The Services have been divided into the following work packages (
                    <defn.term>Lots</defn.term>
                    ):
                  </paratext>
                </para>
                <subclause3 id="a380834">
                  <identifier>(i)</identifier>
                  <para>
                    <paratext>[DETAILS OF ANY LOTS]</paratext>
                  </para>
                </subclause3>
              </subclause2>
              <subclause2 condition="optional" id="a475141">
                <identifier>(b)</identifier>
                <para>
                  <paratext>The Authority would prefer to award all the Lots to a single Tenderer. However, separate contracts for each or any combination of the Lots will be awarded to separate Tenderers if it is more economically advantageous to do so.</paratext>
                </para>
                <para>
                  <paratext>[Tenderers are invited to bid for [all or any of] the following Lots:</paratext>
                </para>
                <para>
                  <paratext>[DETAILS OF ANY LOTS AND ANY RESTRICTIONS ON THE NUMBER OF LOTS THAT A SINGLE TENDERER CAN WIN]]</paratext>
                </para>
                <para>
                  <paratext>[Tenderers are asked to specify any financial benefit accruing to the Authority if the Tenderer is successful in its bid for more than one Lot.</paratext>
                </para>
                <drafting.note id="a247178" jurisdiction="">
                  <head align="left" preservecase="true">
                    <headtext>Dividing the Contract into Lots</headtext>
                  </head>
                  <division id="a000009" level="1">
                    <para>
                      <paratext>
                        The Authority may decide to divide the scope of the Contract into different Lots (for example, based on value or geographical area) (
                        <ital>regulation 46(1), PCR 2015</ital>
                        ). This approach is common where either:
                      </paratext>
                    </para>
                    <list type="bulleted">
                      <list.item>
                        <para>
                          <paratext>The subject of the Contract does not lend itself to economies of scale.</paratext>
                        </para>
                      </list.item>
                      <list.item>
                        <para>
                          <paratext>The optimum conditions for such economies of scale are already met in the Lots.</paratext>
                        </para>
                      </list.item>
                      <list.item>
                        <para>
                          <paratext>A single provider is unlikely to be able to absorb the volumes to be purchased under the Contract.</paratext>
                        </para>
                      </list.item>
                      <list.item>
                        <para>
                          <paratext>The authority requires more than one provider for reasons of service continuity or choice.</paratext>
                        </para>
                      </list.item>
                    </list>
                    <para>
                      <paratext>
                        If the Authority decides not to subdivide into lots, it must set out the main reasons for its decision in the procurement documents or in its procurement report (
                        <link href="7-601-8806" style="ACTLinkPLCtoPLC">
                          <ital>regulation 46(2)</ital>
                        </link>
                        <ital>, PCR 2015</ital>
                        ).
                      </paratext>
                    </para>
                    <para>
                      <paratext>
                        Although dividing the Services in this way means the Authority could end up managing a number of different Contracts and (at worst) receiving a disjointed service, it may also permit smaller businesses to enter the market and provide the Authority with a contingency should one of the Contracts fail. All these considerations will contribute to an assessment of the model that represents best value for money to the Authority. For more information on best value in the local government context, see 
                        <link href="9-383-9732" style="ACTLinkPLCtoPLC">
                          <ital>Practice note, Best value: considerations in outsourcing</ital>
                        </link>
                        .
                      </paratext>
                    </para>
                    <para>
                      <paratext>If the Authority divides the Contract into Lots, it must set out:</paratext>
                    </para>
                    <list type="bulleted">
                      <list.item>
                        <para>
                          <paratext>Whether tenders may be submitted for one, several or all lots.</paratext>
                        </para>
                      </list.item>
                      <list.item>
                        <para>
                          <paratext>The maximum number of lots each Tenderer can win, if any limits apply.</paratext>
                        </para>
                      </list.item>
                    </list>
                    <para>
                      <paratext>The Authority is best advised not to limit the number of lots that can be tendered for as it risks receiving multiple bids for one or more lots and few or no bids for less attractive lots. Instead, if it makes sense to have a diversity of suppliers, it should limit the number that can be won.</paratext>
                    </para>
                    <para>
                      <paratext>
                        If the Authority wishes to limit the number of Lots a single Tenderer can win, it must clearly set out how Lots will be allocated in the event that a Tenderer is the highest scorer for more Lots than it is permitted to win. These rules must be objective and non-discriminatory (
                        <link href="7-601-8806" style="ACTLinkPLCtoPLC">
                          <ital>regulation 46(5)</ital>
                        </link>
                        <ital>, PCR 2015</ital>
                        ).
                      </paratext>
                    </para>
                    <para>
                      <paratext>Where the Authority permits bidders to bid for a combination of Lots, it must make this clear, and should consider its approach to evaluation carefully, particularly if it wants to enable Tenderers to score marks for any additional benefits they can offer the Authority, if the Tenderer were to win more than one lot. Unless these issues are included in the Evaluation Criteria, which are disclosed to all Tenderers, the Authority must not consider them at the evaluation stage.</paratext>
                    </para>
                  </division>
                </drafting.note>
              </subclause2>
            </subclause1>
            <subclause1 id="a862650">
              <identifier>1.6</identifier>
              <para>
                <paratext>
                  <bold>Purpose and scope of this ITT</bold>
                </paratext>
              </para>
              <para>
                <paratext>This ITT:</paratext>
              </para>
              <list type="bulleted">
                <list.item>
                  <para>
                    <paratext>Asks Tenderers to submit their Tenders in accordance with the instructions set out in the remainder of this ITT.</paratext>
                  </para>
                </list.item>
                <list.item>
                  <para>
                    <paratext>Sets out the overall timetable and process for the procurement of Tenders.</paratext>
                  </para>
                </list.item>
                <list.item>
                  <para>
                    <paratext>Provides Tenderers with sufficient information to enable them to submit a compliant Tender (including providing templates where relevant).</paratext>
                  </para>
                </list.item>
                <list.item>
                  <para>
                    <paratext>Sets out the Award Criteria and the Tender Evaluation Model that will be used to evaluate the Tenders.</paratext>
                  </para>
                </list.item>
                <list.item>
                  <para>
                    <paratext>Explains the administrative arrangements for the receipt of Tenders.</paratext>
                  </para>
                </list.item>
              </list>
            </subclause1>
            <subclause1 condition="optional" id="a283267">
              <identifier>1.7</identifier>
              <para>
                <paratext>
                  <bold>Use of Contract by third parties</bold>
                </paratext>
              </para>
              <para>
                <paratext>[The Authority is carrying out the procurement on behalf of itself as principal and any other person(s) or body referred to in the contract notice. Such bodies shall access the Contract through the Authority and shall have no direct contractual relationship with the Service Provider.]</paratext>
              </para>
              <para>
                <paratext>[The following authorities have expressed an interest in purchasing through the Contract:</paratext>
              </para>
              <list type="bulleted">
                <list.item>
                  <para>
                    <paratext>[DETAILS].]</paratext>
                  </para>
                </list.item>
              </list>
              <para>
                <paratext>[Other public sector bodies and local authorities within the geographical boundaries of [INSERT BOUNDARY DETAILS IF APPLICABLE] may join the Contract at a later date.]</paratext>
              </para>
              <drafting.note id="a208367" jurisdiction="">
                <head align="left" preservecase="true">
                  <headtext>Use of contract by third parties</headtext>
                </head>
                <division id="a000010" level="1">
                  <para>
                    <paratext>This wording envisages other public bodies buying through the Authority, as an addition to the Authority's Contract. This allows the Authority to:</paratext>
                  </para>
                  <list type="bulleted">
                    <list.item>
                      <para>
                        <paratext>Monitor the other authorities' level of spend.</paratext>
                      </para>
                    </list.item>
                    <list.item>
                      <para>
                        <paratext>Manage performance issues centrally.</paratext>
                      </para>
                    </list.item>
                    <list.item>
                      <para>
                        <paratext>Agree any variations centrally.</paratext>
                      </para>
                    </list.item>
                    <list.item>
                      <para>
                        <paratext>If appropriate, recover a management fee from the other authorities.</paratext>
                      </para>
                    </list.item>
                  </list>
                  <para>
                    <paratext>
                      An alternative option is for the Authority to set up the procurement so that other contracting authorities can buy direct from the Service Provider without any further involvement from the Authority (see 
                      <link href="9-506-9971" style="ACTLinkPLCtoPLC">
                        <ital>Practice note, Collaborative procurement: taking advantage of another authority's contract</ital>
                      </link>
                       and 
                      <link href="4-384-9601" style="ACTLinkPLCtoPLC">
                        <ital>Practice note, Framework agreements let under the public procurement regime</ital>
                      </link>
                      ).
                    </paratext>
                  </para>
                  <para>
                    <paratext>In either scenario, the Authority should ensure that the contract notice and specification are sufficiently wide to encompass the other contracting authorities' requirements and that the contract notice takes account of the other contracting authorities' potential spend.</paratext>
                  </para>
                </division>
              </drafting.note>
            </subclause1>
            <subclause1 id="a817202">
              <identifier>1.8</identifier>
              <para>
                <paratext>
                  <bold>Clarifications about the Services or ITT</bold>
                </paratext>
              </para>
              <para>
                <paratext>Any clarifications relating to this ITT must be submitted through the e-tendering portal.</paratext>
              </para>
              <para>
                <paratext>
                  The Authority will respond to all reasonable clarifications as soon as possible through publishing the Tenderers' questions and the Authority's response to them on the e-tendering portal (
                  <defn.term>Clarifications Log</defn.term>
                  ). If a Tenderer wishes the Authority to treat a clarification as confidential and not issue the response to all Tenderers, it must state this when submitting the clarification. If, in the opinion of the Authority, the clarification is not confidential, the Authority will inform the Tenderer and it will have an opportunity to withdraw it. If the clarification is not withdrawn, the response will be issued to all Tenderers.
                </paratext>
              </para>
              <para>
                <paratext>
                  The deadline for receipt of clarifications relating to the Services or this ITT is set out in 
                  <internal.reference refid="a257729">paragraph 2</internal.reference>
                  .
                </paratext>
              </para>
              <para>
                <paratext>Tenderers are advised not to rely on communications from the Authority in respect of the Services or ITT unless they are made in accordance with these instructions.</paratext>
              </para>
              <drafting.note id="a203297" jurisdiction="">
                <head align="left" preservecase="true">
                  <headtext>E-tendering portals</headtext>
                </head>
                <division id="a000011" level="1">
                  <para>
                    <paratext>
                      This wording assumes the Authority is using an e-tendering tool. However, the precise wording should be checked for conformity with the specific e-tendering product being used before it is uploaded. For more information see 
                      <link href="2-545-6625" style="ACTLinkPLCtoPLC">
                        <ital>Practice note, Electronic procurement</ital>
                      </link>
                      .
                    </paratext>
                  </para>
                </division>
              </drafting.note>
            </subclause1>
            <subclause1 id="a229730">
              <identifier>1.9</identifier>
              <para>
                <paratext>
                  <bold>Clarifications about the contents of the Tender</bold>
                </paratext>
              </para>
              <para>
                <paratext>The Authority reserves the right (but is not obliged) to seek clarification of any aspect of a Tenderer's Tender during the evaluation phase where necessary for the purposes of carrying out a fair evaluation. Tenderers are asked to respond to such requests promptly. Vague or ambiguous answers are likely to score poorly or render the Tender non-compliant.</paratext>
              </para>
              <drafting.note id="a929709" jurisdiction="">
                <head align="left" preservecase="true">
                  <headtext>Clarifications about the contents of tenders</headtext>
                </head>
                <division id="a000012" level="1">
                  <para>
                    <paratext>
                      For information on clarifying tenders, see 
                      <link href="2-386-8761#a600050" style="ACTLinkPLCtoPLC">
                        <ital>Practice note, Evaluation of tenders: Clarification if bid is unclear</ital>
                      </link>
                      <ital> </ital>
                      .
                    </paratext>
                  </para>
                </division>
              </drafting.note>
            </subclause1>
          </clause>
          <clause id="a257729">
            <identifier>2.</identifier>
            <head align="left" preservecase="true">
              <headtext>Tender Timetable</headtext>
            </head>
            <subclause1 id="a301295">
              <identifier>2.1</identifier>
              <para>
                <paratext>
                  <bold>Key dates</bold>
                </paratext>
              </para>
              <para>
                <paratext>This procurement will follow a clear, structured and transparent process to ensure a fair and level playing field is maintained at all times, and that all Tenderers are treated equally.</paratext>
              </para>
              <para>
                <paratext>
                  The key dates for this procurement (
                  <defn.term>Timetable</defn.term>
                  ) are currently anticipated to be as follows:
                </paratext>
              </para>
              <para>
                <paratext>
                  <table frame="all" pgwide="1">
                    <tgroup cols="2">
                      <colspec colname="1" colnum="1" colwidth="50"/>
                      <colspec colname="2" colnum="2" colwidth="50"/>
                      <tbody>
                        <row>
                          <entry valign="top">
                            <para align="left">
                              <paratext>
                                <bold>Event</bold>
                              </paratext>
                            </para>
                          </entry>
                          <entry valign="top">
                            <para align="left">
                              <paratext>
                                <bold>Date</bold>
                              </paratext>
                            </para>
                          </entry>
                        </row>
                        <row>
                          <entry valign="top">
                            <para align="left">
                              <paratext>Notification of outcome of SQ evaluation and identification of bidders invited to tender (Tenderers)</paratext>
                            </para>
                          </entry>
                          <entry valign="top">
                            <para align="left">
                              <paratext>[DATE]</paratext>
                            </para>
                          </entry>
                        </row>
                        <row>
                          <entry valign="top">
                            <para align="left">
                              <paratext>[Notification of attendance at Tenderers' workshop]</paratext>
                            </para>
                          </entry>
                          <entry valign="top">
                            <para align="left">
                              <paratext>[DATE]</paratext>
                            </para>
                          </entry>
                        </row>
                        <row>
                          <entry valign="top">
                            <para align="left">
                              <paratext>[Tenderers' workshop]</paratext>
                            </para>
                          </entry>
                          <entry valign="top">
                            <para align="left">
                              <paratext>[DATE], [TIME], [VENUE]</paratext>
                            </para>
                          </entry>
                        </row>
                        <row>
                          <entry valign="top">
                            <para align="left">
                              <paratext>Deadline for receipt of clarifications</paratext>
                            </para>
                          </entry>
                          <entry valign="top">
                            <para align="left">
                              <paratext>[DATE]</paratext>
                            </para>
                          </entry>
                        </row>
                        <row>
                          <entry valign="top">
                            <para align="left">
                              <paratext>Target date for responses to clarifications</paratext>
                            </para>
                          </entry>
                          <entry valign="top">
                            <para align="left">
                              <paratext>[DATE]</paratext>
                            </para>
                          </entry>
                        </row>
                        <row>
                          <entry valign="top">
                            <para align="left">
                              <paratext>[Notification of Reference Site Visits and Presentations]</paratext>
                            </para>
                          </entry>
                          <entry valign="top">
                            <para align="left">
                              <paratext>[DATE]</paratext>
                            </para>
                          </entry>
                        </row>
                        <row>
                          <entry valign="top">
                            <para align="left">
                              <paratext>Deadline for receipt of Tenders</paratext>
                            </para>
                          </entry>
                          <entry valign="top">
                            <para align="left">
                              <paratext>[DATE] [TIME]</paratext>
                            </para>
                          </entry>
                        </row>
                        <row>
                          <entry valign="top">
                            <para align="left">
                              <paratext>[Reference site visits]</paratext>
                            </para>
                          </entry>
                          <entry valign="top">
                            <para align="left">
                              <paratext>[DATE]</paratext>
                            </para>
                          </entry>
                        </row>
                        <row>
                          <entry valign="top">
                            <para align="left">
                              <paratext>[Presentations]</paratext>
                            </para>
                          </entry>
                          <entry valign="top">
                            <para align="left">
                              <paratext>[VENUE] [DATE]</paratext>
                            </para>
                          </entry>
                        </row>
                        <row>
                          <entry valign="top">
                            <para align="left">
                              <paratext>Evaluation of Tenders</paratext>
                            </para>
                          </entry>
                          <entry valign="top">
                            <para align="left">
                              <paratext>[DATE]</paratext>
                            </para>
                          </entry>
                        </row>
                        <row>
                          <entry valign="top">
                            <para align="left">
                              <paratext>Notification of contract award decision</paratext>
                            </para>
                          </entry>
                          <entry valign="top">
                            <para align="left">
                              <paratext>[DATE]</paratext>
                            </para>
                          </entry>
                        </row>
                        <row>
                          <entry valign="top">
                            <para align="left">
                              <paratext>"Standstill" period</paratext>
                            </para>
                          </entry>
                          <entry valign="top">
                            <para align="left">
                              <paratext>From [DATE] to [DATE]</paratext>
                            </para>
                          </entry>
                        </row>
                        <row>
                          <entry valign="top">
                            <para align="left">
                              <paratext>Confirm contract award</paratext>
                            </para>
                          </entry>
                          <entry valign="top">
                            <para align="left">
                              <paratext>[DATE]</paratext>
                            </para>
                          </entry>
                        </row>
                        <row>
                          <entry valign="top">
                            <para align="left">
                              <paratext>Contract start and start of mobilisation period</paratext>
                            </para>
                          </entry>
                          <entry valign="top">
                            <para align="left">
                              <paratext>[DATE]</paratext>
                            </para>
                          </entry>
                        </row>
                        <row>
                          <entry valign="top">
                            <para align="left">
                              <paratext>Target service commencement date</paratext>
                            </para>
                          </entry>
                          <entry valign="top">
                            <para align="left">
                              <paratext>[DATE]</paratext>
                            </para>
                          </entry>
                        </row>
                      </tbody>
                    </tgroup>
                  </table>
                </paratext>
              </para>
              <para>
                <paratext>Any changes to the procurement Timetable shall be notified to all Tenderers as soon as practicable.</paratext>
              </para>
            </subclause1>
            <subclause1 condition="optional" id="a490968">
              <identifier>2.2</identifier>
              <para>
                <paratext>
                  <bold>Tenderers' workshop</bold>
                </paratext>
              </para>
              <para>
                <paratext>A workshop for Tenderers will be held as detailed in the Timetable. All Tenderers are recommended to attend. Please confirm who will be representing your organisation (name and status) by the above stated date in order for the Authority to make the appropriate arrangements.</paratext>
              </para>
              <para>
                <paratext>Please send any questions to the address for the Clarifications Log three days before the workshop to ensure they can be answered at the workshop.</paratext>
              </para>
              <para>
                <paratext>
                  [The following [officers 
                  <bold>OR</bold>
                   representatives] from the following departments will attend the workshop: [DETAILS, NAMES AND POSITIONS] 
                  <bold>OR</bold>
                   Further details of the Tenderers' workshop shall be provided on confirmation of attendance].
                </paratext>
              </para>
              <drafting.note id="a390791" jurisdiction="">
                <head align="left" preservecase="true">
                  <headtext>Tenderers' workshop</headtext>
                </head>
                <division id="a000013" level="1">
                  <para>
                    <paratext>To allow Tenderers to put forward initial questions on the ITT, authorities may hold a bidders' conference or a supplier open day to which all Tenderers are invited. This has the advantage for the Authority of clarifying initial matters raised by Tenderers in front of all suppliers at the same time. This will need to be carefully orchestrated and will inevitably mean that Tenderers will find out which other Tenderers have been shortlisted and are interested in responding. The Authority should circulate the questions and answers raised at the Tenderers' workshop to all of the Tenderers after the event (particularly where a Tenderer may end up not being able to attend the workshop for whatever reason).</paratext>
                  </para>
                </division>
              </drafting.note>
            </subclause1>
            <subclause1 id="a461832">
              <identifier>2.3</identifier>
              <para>
                <paratext>
                  <bold>Deadline for receipt of Tenders</bold>
                </paratext>
              </para>
              <para>
                <paratext>
                  Responses to this ITT must arrive at the address and in the manner prescribed under 
                  <internal.reference refid="a71839">paragraph 3.1</internal.reference>
                   no later than the Deadline.
                </paratext>
              </para>
              <para>
                <paratext>Any Tender received after the Deadline shall not be opened or considered. The Authority may, however, in its own absolute discretion extend the Deadline and in such circumstances the Authority will notify all Tenderers of any change.</paratext>
              </para>
              <drafting.note id="a573497" jurisdiction="">
                <head align="left" preservecase="true">
                  <headtext>Extending the Deadline</headtext>
                </head>
                <division id="a000014" level="1">
                  <para>
                    <paratext>The Authority is obliged to extend the Deadline where:</paratext>
                  </para>
                  <list type="bulleted">
                    <list.item>
                      <para>
                        <paratext>Additional information, for whatever reason, although requested by the Tenderer in good time, was not supplied at least six days before the Deadline (or four days in the case of an accelerated procedure).</paratext>
                      </para>
                    </list.item>
                    <list.item>
                      <para>
                        <paratext>Significant changes are made to the procurement documents.</paratext>
                      </para>
                    </list.item>
                  </list>
                  <para>
                    <paratext>The length of the extension must be proportionate to the importance of the information or change.</paratext>
                  </para>
                  <para>
                    <paratext>There is no requirement to extend the Deadline when the information was not requested in good time or is insignificant in terms of its impact on Tenderers' ability to prepare a responsive Tender.</paratext>
                  </para>
                  <para>
                    <paratext>
                      (
                      <link href="7-601-8825" style="ACTLinkPLCtoPLC">
                        <ital>Regulation 47</ital>
                      </link>
                      <ital>, PCR 2015</ital>
                      .)
                    </paratext>
                  </para>
                </division>
              </drafting.note>
              <drafting.note id="a731642" jurisdiction="">
                <head align="left" preservecase="true">
                  <headtext>Late tenders</headtext>
                </head>
                <division id="a000015" level="1">
                  <para>
                    <paratext>The Authority should also make it clear when or if any discretion will be exercised in allowing late Tenders.</paratext>
                  </para>
                  <para>
                    <paratext>
                      <bold>Alternative drafting for Authority's discretion to accept late tenders</bold>
                    </paratext>
                  </para>
                  <display.quote>
                    <para>
                      <paratext>"Any Tender received after the Deadline shall not be opened or considered unless, in the opinion of the Authority, taking into account relevant evidence, the failure to meet the deadline was due to circumstances beyond the control of the Tenderer."</paratext>
                    </para>
                  </display.quote>
                  <para>
                    <paratext>Where there is a systemic failure (such as a failure of any electronic tendering system or strike action), the Authority should consider extending the deadline before it expires, rather than permitting late Tenders.</paratext>
                  </para>
                  <para>
                    <paratext>However, if the Authority permits a late Tender, it risks opening itself up to challenge from other Tenderers who were unable to complete a Tender on time aswell as those that did.</paratext>
                  </para>
                </division>
              </drafting.note>
              <drafting.note id="a681461" jurisdiction="">
                <head align="left" preservecase="true">
                  <headtext>Electronic tendering systems</headtext>
                </head>
                <division id="a000016" level="1">
                  <para>
                    <paratext>It is important that the ITT provides clear instructions on the method and timing of Tender submission. Suppliers may be unfamiliar with electronic tendering systems and may need additional support with, for example, uploading documents. It is wise to advise all Tenderers to leave enough time to submit their Tenders.</paratext>
                  </para>
                </division>
              </drafting.note>
            </subclause1>
            <subclause1 id="a74933">
              <identifier>2.4</identifier>
              <para>
                <paratext>
                  <bold>References</bold>
                </paratext>
              </para>
              <para>
                <paratext>Tenderers are requested to supply [NUMBER] references. References will be used to verify the technical proposals put forward in the Tender and will not be scored.</paratext>
              </para>
              <para>
                <paratext>[The Authority reserves the right to seek references from any of the Tenderer's customers, including the Authority, whether or not the Tenderer has listed such customers as referees.]</paratext>
              </para>
              <drafting.note id="a824582" jurisdiction="">
                <head align="left" preservecase="true">
                  <headtext>References</headtext>
                </head>
                <division id="a000017" level="1">
                  <para>
                    <paratext>References verifying a bidder's past experience (a selection, rather than an Award Criteria) should be obtained at the SQ stage.</paratext>
                  </para>
                  <para>
                    <paratext>
                      However, references may be relevant at award stage to support the Tenderers' written submissions (that is, evidence that their solutions are deliverable). For more information, see 
                      <internal.reference refid="a918282">Drafting note, Presentations</internal.reference>
                      <ital>.</ital>
                    </paratext>
                  </para>
                  <para>
                    <paratext>
                      For more information on the distinction between selection and award criteria, see 
                      <link href="7-579-9145" style="ACTLinkPLCtoPLC">
                        <ital>Practice note, Selection criteria and standard selection questionnaires (SQs)</ital>
                      </link>
                       and 
                      <link href="2-386-8761" style="ACTLinkPLCtoPLC">
                        <ital>Practice note, Evaluation of tenders</ital>
                      </link>
                      .
                    </paratext>
                  </para>
                </division>
              </drafting.note>
            </subclause1>
            <subclause1 condition="optional" id="a807636">
              <identifier>2.5</identifier>
              <para>
                <paratext>
                  <bold>Reference site visits</bold>
                </paratext>
              </para>
              <para>
                <paratext>
                  All Tenderers are asked to make available [NUMBER] reference site[s] [as identified in your response to the SQ]. The reference site visits will be required to [score the Evaluation Criteria as 
                  <bold>OR</bold>
                   moderate the scores obtained from your written submissions on the Evaluation Criteria] identified in the Tender Evaluation Model.
                </paratext>
              </para>
              <para>
                <paratext>Reference site visits are planned to take place on the dates set out in the Timetable. You should keep these dates free in case you are asked to make a reference site available.</paratext>
              </para>
              <para>
                <paratext>
                  [The Authority reserves the right to visit the sites of the top [NUMBER] scoring Tenderers or more, although, where the scores which are being [evaluated 
                  <bold>OR</bold>
                   moderated] by the visits are close enough that the [evaluation 
                  <bold>OR</bold>
                   moderation] could make a difference to the contract award, the authority will visit all relevant Tenderers' sites.]
                </paratext>
              </para>
              <drafting.note id="a843113" jurisdiction="">
                <head align="left" preservecase="true">
                  <headtext>Presentations and reference site visits: a two-stage evaluation process</headtext>
                </head>
                <division id="a000018" level="1">
                  <para>
                    <paratext>Reference site visits can be used to score specific criteria (provided this is not an assessment of the Tenderers' past experience) or to moderate written scores.</paratext>
                  </para>
                  <para>
                    <paratext>
                      The Authority may want to visit reference sites or hear presentations from only those Tenderers who stand a chance of winning the work, following evaluation of their written submissions. However, the open and restricted procedures do not envisage a split tender process in which only the top scorers proceed to a second-stage evaluation. (The competitive procedure with negotiation, the 
                      <link href="0-385-1375" style="ACTLinkPLCtoPLC">
                        <bold>
                          <ital>competitive dialogue procedure</ital>
                        </bold>
                      </link>
                       or the innovation partnership allow for iterative processes (see 
                      <link href="9-385-0442" style="ACTLinkPLCtoPLC">
                        <ital>Practice note, Competitive dialogue procedure</ital>
                      </link>
                      . It is also open to the Authority to adopt or adapt one of those processes for procurements for Schedule 3 contracts.) The law in this area is, therefore, open to interpretation, but three possibilities emerge:
                    </paratext>
                  </para>
                  <list type="bulleted">
                    <list.item>
                      <para>
                        <paratext>The Authority visits reference sites or hears presentations from all Tenderers.</paratext>
                      </para>
                    </list.item>
                    <list.item>
                      <para>
                        <paratext>The Authority invites only the top scorers who are way ahead of their competitors to proceed. The risk of challenge is likely to be low if the Authority rejects only those Tenderers who are so far behind their competitors that even if they scored maximum available marks for this part of the process, they could not win.</paratext>
                      </para>
                    </list.item>
                    <list.item>
                      <para>
                        <paratext>Alternatively, the Authority may want to impose a cut-off, for example, that it reserves the right to take only the top three to five scoring Tenderers through (irrespective of how close their scores are) to a second round of assessment. This is a riskier approach and is not recommended.</paratext>
                      </para>
                    </list.item>
                  </list>
                  <para>
                    <paratext>Presentations and reference site visits are not, in themselves, Evaluation Criteria. They can be used to evaluate technical criteria and these should be specified. Alternatively, they can also be used to moderate the written submissions and attract no separate marks. The Authority must specify how the presentations or reference site visits are being used and which of the Evaluation Criteria will be scored or moderated in this way.</paratext>
                  </para>
                  <para>
                    <paratext>If the Authority chooses to only visit reference sites or hear presentations from the top-scoring Tenderers, it must ensure that:</paratext>
                  </para>
                  <list type="bulleted">
                    <list.item>
                      <para>
                        <paratext>If the reference site visits or presentations attract specific marks, all those Tenderers who could have a chance of winning the work are invited (taking into account that the lowest-scoring Tenderers following evaluation of the written submission may score highly and the highest-scoring Tenderers, poorly).</paratext>
                      </para>
                    </list.item>
                    <list.item>
                      <para>
                        <paratext>If the reference site visits or presentations are used to moderate specific marks, all those Tenderers who could have a chance of winning the work are invited (taking into account that the scores of the lowest-scoring Tenderers could be moderated upwards and the highest scoring Tenderers' scores could be moderated downwards). This exercise is further complicated if a large number of criteria are capable of moderation.</paratext>
                      </para>
                    </list.item>
                  </list>
                  <para>
                    <paratext>If the presentations or reference site visits attract their own marks, the marks from the written submission can be added to those allocated for the reference site visits or presentation to provide the overall score.</paratext>
                  </para>
                  <para>
                    <paratext>The position is different for procurements which:</paratext>
                  </para>
                  <list type="bulleted">
                    <list.item>
                      <para>
                        <paratext>Use iterative stages, such as the competitive dialogue and competitive negotiated procedures.</paratext>
                      </para>
                    </list.item>
                    <list.item>
                      <para>
                        <paratext>Fall outside the PCR 2015.</paratext>
                      </para>
                    </list.item>
                    <list.item>
                      <para>
                        <paratext>Fall within Schedule 3 for which no set procedures are prescribed. Therefore, a split tender process (third bullet point above) is probably permitted, provided it is fair, transparent and non-discriminatory.</paratext>
                      </para>
                    </list.item>
                  </list>
                </division>
              </drafting.note>
            </subclause1>
            <subclause1 condition="optional" id="a669230">
              <identifier>2.6</identifier>
              <para>
                <paratext>
                  <bold>Software or product demonstration</bold>
                </paratext>
              </para>
              <para>
                <paratext>
                  You will need to include a demonstration of the [software] solution proposed for the Contract [as part of the reference site visit (see 
                  <internal.reference refid="a1029112">paragraph 4</internal.reference>
                   for more information)].
                </paratext>
              </para>
              <drafting.note id="a1026524" jurisdiction="">
                <head align="left" preservecase="true">
                  <headtext>Software or product demonstration</headtext>
                </head>
                <division id="a000019" level="1">
                  <para>
                    <paratext>The above wording can be used where the Tenderers must carry out a demonstration of software or other product, rather than provide access to a reference site:</paratext>
                  </para>
                </division>
              </drafting.note>
            </subclause1>
            <subclause1 condition="optional" id="a884067">
              <identifier>2.7</identifier>
              <para>
                <paratext>
                  <bold>Presentations</bold>
                </paratext>
              </para>
              <para>
                <paratext>
                  A maximum of the [top three scoring 
                  <bold>OR</bold>
                   [NUMBER]] Tenderers will be invited to deliver a presentation to representatives of the Authority [and other organisations as appropriate] in support of their Tenders, as set out in the Timetable. You should keep this date free in case you are asked to attend.
                </paratext>
              </para>
              <para>
                <paratext>
                  The presentations will be used to [evaluate the Evaluation Criteria 
                  <bold>OR</bold>
                   moderate the written submissions for the Evaluation Criteria] specified in the Tender Evaluation Model.
                </paratext>
              </para>
              <para>
                <paratext>
                  [The panel will consist of the following [officers 
                  <bold>OR</bold>
                   representatives] from the following departments: [DETAILS, NAMES OR POSITIONS].
                </paratext>
              </para>
              <para>
                <paratext>
                  <bold>OR</bold>
                </paratext>
              </para>
              <para>
                <paratext>The names and positions of those attending from the Authority will be notified to all Tenderers in advance of the presentation.]</paratext>
              </para>
              <para>
                <paratext>[Topics for discussion for the presentation will be issued no later than [NUMBER] days before the presentation.]</paratext>
              </para>
              <drafting.note id="a918282" jurisdiction="">
                <head align="left" preservecase="true">
                  <headtext>Presentations</headtext>
                </head>
                <division id="a000020" level="1">
                  <para>
                    <paratext>
                      For information on the presentations and evaluation, see 
                      <internal.reference refid="a843113">Drafting note, Presentations and reference site visits: a two-stage evaluation process</internal.reference>
                      .
                    </paratext>
                  </para>
                  <para>
                    <paratext>The Authority must notify Tenderers of the criteria that will be evaluated or moderated at the presentation. However, they are not required to issue specific questions before the presentation.</paratext>
                  </para>
                </division>
              </drafting.note>
            </subclause1>
            <subclause1 id="a104834">
              <identifier>2.8</identifier>
              <para>
                <paratext>
                  <bold>Contract award</bold>
                </paratext>
              </para>
              <para>
                <paratext>The Authority may award Contract(s) on the basis of a [Tender] OR [Reference Bid or a Variant Bid] submitted in accordance with the instructions below.</paratext>
              </para>
              <para>
                <paratext>Contract award is subject to the formal approval process of the Authority. Until all necessary approvals are obtained and the standstill period completed, no Contract(s) will be entered into.</paratext>
              </para>
              <para>
                <paratext>Once the Authority has reached a decision in respect of a contract award, it will notify all bidders of that decision and provide for a standstill period in accordance with the PCR 2015 before entering into any Contract(s).</paratext>
              </para>
              <drafting.note id="a609294" jurisdiction="">
                <head align="left" preservecase="true">
                  <headtext>Standstill period</headtext>
                </head>
                <division id="a000021" level="1">
                  <para>
                    <paratext>The standstill period ends at midnight at the end of the tenth day after the date on which the Authority sends the award decision letter (by fax or electronically).</paratext>
                  </para>
                  <para>
                    <paratext>Where the standstill letter is sent by means other than fax or email, the standstill period ends at whichever of the following occurs first:</paratext>
                  </para>
                  <list type="bulleted">
                    <list.item>
                      <para>
                        <paratext>Midnight at the end of the 15th day after the relevant sending date.</paratext>
                      </para>
                    </list.item>
                    <list.item>
                      <para>
                        <paratext>Midnight at the end of the 10th day after the date on which the last of the economic operators to receive such a notice receives it.</paratext>
                      </para>
                    </list.item>
                  </list>
                  <para>
                    <paratext>
                      (
                      <link href="5-601-8845" style="ACTLinkPLCtoPLC">
                        <ital>regulation 87</ital>
                      </link>
                      <ital>, PCR 2015</ital>
                      ).
                    </paratext>
                  </para>
                  <para>
                    <paratext>
                      For more information on the standstill period, see 
                      <link href="0-500-9991" style="ACTLinkPLCtoPLC">
                        <ital>Practice note, Remedies in public procurement law</ital>
                      </link>
                      .
                    </paratext>
                  </para>
                  <para>
                    <paratext>
                      For standard letters and drafting notes, see 
                      <link href="5-384-2185" style="ACTLinkPLCtoPLC">
                        <ital>Practice note, Procurement correspondence</ital>
                      </link>
                      .
                    </paratext>
                  </para>
                </division>
              </drafting.note>
            </subclause1>
            <subclause1 id="a306172">
              <identifier>2.9</identifier>
              <para>
                <paratext>
                  <bold>Debrief</bold>
                </paratext>
              </para>
              <para>
                <paratext>The contract award notification will be sent to each Tenderer. The Authority will inform all unsuccessful Tenderers of the identity and relative advantages and characteristics of the successful Tender as compared with the addressee's Tender.</paratext>
              </para>
              <drafting.note id="a1044214" jurisdiction="">
                <head align="left" preservecase="true">
                  <headtext>Debriefing requirements</headtext>
                </head>
                <division id="a000022" level="1">
                  <para>
                    <paratext>
                      For more information, see 
                      <link href="0-500-9991" style="ACTLinkPLCtoPLC">
                        <ital>Practice note, Remedies in public procurement law</ital>
                      </link>
                       and 
                      <link href="7-616-7165" style="ACTLinkPLCtoPLC">
                        <ital>Standard document, Letter informing unsuccessful supplier of outcome of procurement with debrief (PCR 2015)</ital>
                      </link>
                    </paratext>
                  </para>
                </division>
              </drafting.note>
            </subclause1>
          </clause>
          <clause id="a268968">
            <identifier>3.</identifier>
            <head align="left" preservecase="true">
              <headtext>Tender completion information</headtext>
            </head>
            <subclause1 id="a71839">
              <identifier>3.1</identifier>
              <para>
                <paratext>
                  <bold>Formalities</bold>
                </paratext>
              </para>
              <para>
                <paratext>[All documents comprising the Tender must be completed and uploaded to the e-tendering portal by [DATE] [TIME] [Deadline.]</paratext>
              </para>
              <para>
                <paratext>[INSERT ANY REQUIREMENTS SPECIFIC TO AUTHORITY'S E-TENDERING TOOL.]</paratext>
              </para>
              <para>
                <paratext>[The following requirements must be adhered to when submitting Tenders:</paratext>
              </para>
              <list type="bulleted">
                <list.item>
                  <para>
                    <paratext>The pages of the Tender documents must be numbered sequentially as "Page [x] of [xx]" and include the date and title of the document on each page of the main body.</paratext>
                  </para>
                </list.item>
                <list.item>
                  <para>
                    <paratext>Any additional pre-existing material which is necessary to support the Tender should be included as schedules with cross-references to this material in the main body of the Tender. Cross-references to this ITT should also be included in the Tender whenever this is relevant.</paratext>
                  </para>
                </list.item>
                <list.item>
                  <para>
                    <paratext>Where documents are embedded within other documents, Tenderers must upload separate copies of the embedded documents.</paratext>
                  </para>
                </list.item>
                <list.item>
                  <para>
                    <paratext>The Tender must be in English and drafted in accordance with the drafting guidance set out in this ITT.</paratext>
                  </para>
                </list.item>
                <list.item>
                  <para>
                    <paratext>Each Tender [(whether a Reference Bid or a Variant Bid)] must be uniquely named or referenced.</paratext>
                  </para>
                </list.item>
                <list.item>
                  <para>
                    <paratext>A table of contents must be provided.</paratext>
                  </para>
                </list.item>
                <list.item>
                  <para>
                    <paratext>The Tender must be fully cross-referenced.</paratext>
                  </para>
                </list.item>
                <list.item>
                  <para>
                    <paratext>A list of supporting material must be supplied.</paratext>
                  </para>
                </list.item>
                <list.item>
                  <para>
                    <paratext>Tenderers should use [FONT TYPE AND SIZE].</paratext>
                  </para>
                </list.item>
                <list.item>
                  <para>
                    <paratext>Line spacing must be [SPACING SIZE] or more.</paratext>
                  </para>
                </list.item>
              </list>
              <para>
                <paratext>The Tender must be clear, concise and complete. The Authority reserves the right to mark a Tenderer down or exclude them from the procurement if its Tender contains any ambiguities, caveats or lacks clarity. Tenderers should submit only such information as is necessary to respond effectively to this ITT. Tenders will be evaluated on the basis of information submitted by the Deadline.</paratext>
              </para>
              <para>
                <paratext>
                  [The Tenderer must upload a duly executed Form of Tender (
                  <internal.reference refid="a893025">Schedule 11</internal.reference>
                  ).] Where the Tenderer is a company, the Tender must be signed by a duly authorised representative of that company. Where the Tenderer is a consortium, the Tender must be signed by the lead authorised representative of the consortium, which organisation shall be responsible for the performance of the Contract. In the case of a partnership, all the partners should sign or, alternatively, one only may sign, in which case they must have and should state that they have authority to sign on behalf of the other partner(s). The names of all the partners should be given in full together with the trading name of the partnership. In the case of a sole trader, they should sign and give their name in full together with the name under which they are trading.
                </paratext>
              </para>
            </subclause1>
            <subclause1 condition="optional" id="a210696">
              <identifier>3.2</identifier>
              <para>
                <paratext>
                  <bold>Executive summary</bold>
                </paratext>
              </para>
              <para>
                <paratext>Each Tenderer must also provide an executive summary of its Tender. Each Tenderer must include in its executive summary:</paratext>
              </para>
              <list type="bulleted">
                <list.item>
                  <para>
                    <paratext>An outline of the way in which the Authority's requirements are to be met by its proposal.</paratext>
                  </para>
                </list.item>
                <list.item>
                  <para>
                    <paratext>A summary of all the services offered by the Tenderer in response to the ITT.</paratext>
                  </para>
                </list.item>
                <list.item>
                  <para>
                    <paratext>An overview of the Tenderer's overall costs and proposals in relation to pricing.</paratext>
                  </para>
                </list.item>
                <list.item>
                  <para>
                    <paratext>A clear statement of whether it is a consortium or a group of companies with one supplier.</paratext>
                  </para>
                </list.item>
                <list.item>
                  <para>
                    <paratext>A clear statement of its commitment to meet the Authority's requirements and the pricing, payment and performance model.</paratext>
                  </para>
                </list.item>
                <list.item>
                  <para>
                    <paratext>Confirmation that the Tender(s) will remain open for a period of [NUMBER] days.</paratext>
                  </para>
                </list.item>
                <list.item>
                  <para>
                    <paratext>Written confirmation of no adverse change since the SQ stage in its financial standing and any other information provided at that stage.</paratext>
                  </para>
                </list.item>
                <list.item>
                  <para>
                    <paratext>Notification of any change in control, composition or membership (if any) that has taken place after its submission of its expression of interest.</paratext>
                  </para>
                </list.item>
                <list.item>
                  <para>
                    <paratext>[Any other requirements of the Authority (for example, certificates of non-collusion, non-canvassing and so on).]</paratext>
                  </para>
                </list.item>
              </list>
              <para>
                <paratext>If changes subsequently occur in relation to the statements set out in the executive summary, the applicable Tenderer must promptly notify the Authority of them. The Authority reserves the right to disqualify any Tenderer that fails to duly notify the Authority. Tenderers are also reminded of the eligibility requirements that apply to the procurement process at all times. In particular, these include the provisions set out in regulation 57 of the PCR 2015 and the minimum standards set out in the SQ. Any change in the eligibility of a Tenderer must be notified immediately to the Authority in writing and may result in that Tenderer being disqualified from any further participation in the procurement process.</paratext>
              </para>
              <drafting.note id="a338216" jurisdiction="">
                <head align="left" preservecase="true">
                  <headtext>Executive summary</headtext>
                </head>
                <division id="a000023" level="1">
                  <para>
                    <paratext>Executive summaries of the Tender or covering letters may not be required in every case.</paratext>
                  </para>
                </division>
              </drafting.note>
            </subclause1>
            <subclause1 id="a794123">
              <identifier>3.3</identifier>
              <para>
                <paratext>
                  <bold>Submission of Tenders</bold>
                </paratext>
              </para>
              <para>
                <paratext>Each Tenderer:</paratext>
              </para>
              <list type="bulleted">
                <list.item>
                  <para>
                    <paratext>Must submit one Tender [in respect of each Lot that the Tenderer has been invited to respond to by the Authority and for which it wishes to make a bid].</paratext>
                  </para>
                </list.item>
                <list.item>
                  <para>
                    <paratext>[May submit one or more Tenders in respect of one or more combinations of Lots showing any financial benefits accruing to the Authority if the Tenderer were to win more than one Lot.]</paratext>
                  </para>
                </list.item>
                <list.item>
                  <para>
                    <paratext>[May submit Variant Bids, subject to the conditions set out below.]</paratext>
                  </para>
                </list.item>
              </list>
              <para>
                <paratext>
                  [The 
                  <bold>OR</bold>
                   Each] Tender must meet the Authority's minimum requirements, operate as a standalone bid and not be dependent on any other bid or any other factors external to the Tender itself. That is, [the 
                  <bold>OR</bold>
                   each] Tender must be capable of being accepted by the Authority in its own right.
                </paratext>
              </para>
            </subclause1>
            <subclause1 condition="optional" id="a545202">
              <identifier>3.4</identifier>
              <para>
                <paratext>
                  <bold>Variant Bids</bold>
                </paratext>
              </para>
              <para>
                <paratext>
                  Tenderers are permitted to submit [[NUMBER] 
                  <bold>OR</bold>
                   any number of] Variant Bids (
                  <bold>Variant Bids</bold>
                  ) to the Authority (subject to the requirements of a Variant Bid set out in this paragraph).
                </paratext>
              </para>
              <para>
                <paratext>A Variant Bid must meet the minimum requirements applicable to a Reference Bid, except for any changes made in respect of the following options (a Tenderer may choose to include any or all of these variant options in a Variant Bid):</paratext>
              </para>
              <list type="bulleted">
                <list.item>
                  <para>
                    <paratext>[SET OUT OPTIONS (FOR EXAMPLE, SERVICE LEVEL OPTION, PAYMENT MECHANISM OPTION OR ADDITIONAL SERVICE COMPONENT OPTION).]</paratext>
                  </para>
                </list.item>
              </list>
              <para>
                <paratext>A Variant Bid will only be considered once the Authority has determined that the Tenderer has submitted a compliant Reference Bid [in respect of each of the relevant Lots covered by the Variant Bid].</paratext>
              </para>
              <para>
                <paratext>A Variant Bid must not be used for the purposes of imposing the Tenderer's own conditions of service provision.</paratext>
              </para>
              <para>
                <paratext>If a Tenderer is in any doubt about the acceptability of any proposed Variant Bid, it may request clarification from the Authority before formal submission.</paratext>
              </para>
              <para>
                <paratext>Tenderers must:</paratext>
              </para>
              <list type="bulleted">
                <list.item>
                  <para>
                    <paratext>State which of the variants or which combination of the variants above applies to the Variant Bid.</paratext>
                  </para>
                </list.item>
                <list.item>
                  <para>
                    <paratext>Provide any information requested regarding the particular type(s) of Variant Bid.</paratext>
                  </para>
                </list.item>
                <list.item>
                  <para>
                    <paratext>Provide a summary of the costing and solution differences.</paratext>
                  </para>
                </list.item>
                <list.item>
                  <para>
                    <paratext>Detail the benefits to the Authority of those differences against the relevant Reference Bid(s).</paratext>
                  </para>
                </list.item>
              </list>
              <drafting.note id="a804149" jurisdiction="">
                <head align="left" preservecase="true">
                  <headtext>Variant Bids</headtext>
                </head>
                <division id="a000024" level="1">
                  <para>
                    <paratext>Contracting authorities should exercise caution when permitting Variant Bids, as they can be problematic to evaluate. However, they are a useful means of permitting Tenderers to propose innovative solutions for service delivery (assuming the Authority's own pre-procurement market research did not identify these options). For example:</paratext>
                  </para>
                  <list type="bulleted">
                    <list.item>
                      <para>
                        <paratext>Where the Services are split into Lots, unless such an option is already included in the ITT, a Variant Bid may be used to propose an alternative pricing mechanism enabling the Authority to benefit from economies of scale if the Tenderer were to be awarded more than one Lot.</paratext>
                      </para>
                    </list.item>
                    <list.item>
                      <para>
                        <paratext>Where the Specification is input based, but where the Evaluation Criteria focus on the outcome for the Authority.</paratext>
                      </para>
                    </list.item>
                    <list.item>
                      <para>
                        <paratext>To introduce amendments to the Contract terms. However, this is difficult to evaluate and is not recommended for procurements using the restricted procedure. It is usually easier to deal with questions about the Contract terms under the Clarifications process.</paratext>
                      </para>
                    </list.item>
                  </list>
                  <para>
                    <paratext>If the Authority decides to permit Variant Bids, to ensure it achieves the best outcome, it must:</paratext>
                  </para>
                  <list type="bulleted">
                    <list.item>
                      <para>
                        <paratext>
                          Specify the minimum requirements to be met by the Variants and any specific requirements for their presentation (
                          <ital>regulation 45(4), PCR 2015</ital>
                          ), for example, which elements of the requirements (Specification) must be met in full and which may be varied.
                        </paratext>
                      </para>
                    </list.item>
                    <list.item>
                      <para>
                        <paratext>
                          Ensure its Evaluation Criteria allows for Variant Bids to be considered fairly alongside Reference Bids (see 
                          <link href="5-385-1368" style="ACTLinkPLCtoPLC">
                            <ital>Reference Bids</ital>
                          </link>
                          ) (
                          <link href="3-601-8865" style="ACTLinkPLCtoPLC">
                            <ital>regulation 45(5)</ital>
                          </link>
                          <ital>, PCR 2015</ital>
                          ).
                        </paratext>
                      </para>
                    </list.item>
                  </list>
                </division>
              </drafting.note>
            </subclause1>
            <subclause1 id="a462343">
              <identifier>3.5</identifier>
              <para>
                <paratext>
                  <bold>Contract terms</bold>
                </paratext>
              </para>
              <para>
                <paratext>
                  The draft Contract that the Authority proposes to use is attached at 
                  <internal.reference refid="a468549">Schedule 1</internal.reference>
                  . By submitting a Tender, Tenderers are agreeing to be bound by the terms of this ITT and the Contract without further negotiation or amendment.
                </paratext>
              </para>
              <para>
                <paratext>
                  If the terms of the Contract render the proposals in the Tenderer's Tender unworkable, the Tenderer should submit a clarification in accordance with 
                  <internal.reference refid="a817202">paragraph 1.8</internal.reference>
                   and the Authority will consider whether any amendment to the Contract is required. Any amendments shall be published through the Clarifications Log and shall apply to all Tenderers. Where both the amendment and the original drafting are acceptable and workable to the Authority, the Authority shall publish the amendment as an alternative to the original drafting. Tenderers should indicate if they prefer the amendment; otherwise the original drafting shall apply. Any amendments which are proposed, but not approved by the Authority through this process, will not be acceptable and may be construed as a rejection of the terms leading to the disqualification of the Tender.
                </paratext>
              </para>
              <drafting.note id="a466392" jurisdiction="">
                <head align="left" preservecase="true">
                  <headtext>Evaluating the response to the Contract terms</headtext>
                </head>
                <division id="a000025" level="1">
                  <para>
                    <paratext>This ITT assumes that the Contract terms are non-negotiable. However, some contracting authorities permit the Tenderers to mark-up the draft contract and score its commercial acceptability or risk allocation as part of the evaluation.</paratext>
                  </para>
                  <para>
                    <paratext>However, this presents problems where the open or restricted procedure is being used, during which the parties cannot negotiate. The above approach may, therefore, result in a bidder submitting amendments to the terms which are unacceptable to the Authority. Unless the Authority allows itself the discretion to reject such a bid as non-compliant, it may be obliged to award the contract to that Tenderer, if their Tender otherwise represents best value for money. Alternatively, if the Authority allows for bids to be rejected as non-compliant on the basis of the mark up to the contract terms, this may have the effect of rejecting a good Tenderer who failed to understand the process and used the mark-up as a first attempt to engage in a negotiation.</paratext>
                  </para>
                  <para>
                    <paratext>It is, therefore, simpler, especially for straightforward contracts, for the Authority to impose Contract terms which are reasonable and reflect industry norms. If there are any significant difficulties with the Tenderers accepting those terms, they can raise the issue through the clarification process.</paratext>
                  </para>
                  <para>
                    <paratext>
                      For more information, see 
                      <link href="2-386-8761" style="ACTLinkPLCtoPLC">
                        <ital>Practice note, Evaluation of tenders; Evaluation of terms and conditions</ital>
                      </link>
                      .
                    </paratext>
                  </para>
                </division>
              </drafting.note>
            </subclause1>
            <subclause1 id="a43840">
              <identifier>3.6</identifier>
              <para>
                <paratext>
                  <bold>Documents forming the contract</bold>
                </paratext>
              </para>
              <para>
                <paratext>The following documents shall form part of the Contract between the Authority and the Service Provider(s):</paratext>
              </para>
              <para>
                <paratext>[[LIST DOCUMENTS]</paratext>
              </para>
              <list type="bulleted">
                <list.item>
                  <para>
                    <paratext>Contract and its schedules.</paratext>
                  </para>
                </list.item>
                <list.item>
                  <para>
                    <paratext>Specification.</paratext>
                  </para>
                </list.item>
                <list.item>
                  <para>
                    <paratext>Schedules (such as service levels, site plans, asset lists, contracts list, list of transferring employees, relevant policies and so on).</paratext>
                  </para>
                </list.item>
                <list.item>
                  <para>
                    <paratext>A pricing model (as completed by the Service Provider).</paratext>
                  </para>
                </list.item>
                <list.item>
                  <para>
                    <paratext>
                      [Responses to requirements 
                      <bold>OR</bold>
                       method statement questions](as completed by the Service Provider).
                    </paratext>
                  </para>
                </list.item>
                <list.item>
                  <para>
                    <paratext>A list of commercially sensitive information (as completed by the successful Tenderer).]</paratext>
                  </para>
                </list.item>
              </list>
              <drafting.note id="a176542" jurisdiction="">
                <head align="left" preservecase="true">
                  <headtext>Documents forming the contract</headtext>
                </head>
                <division id="a000026" level="1">
                  <para>
                    <paratext>
                      Contracting authorities are obliged to publish all procurement documents, subject to limited exceptions, with the contract notice, see 
                      <link anchor="a407671" href="w-029-5992" style="ACTLinkPLCtoPLC">
                        <ital>Practice note, Advertising on the UK e-notification service: Find a Tender: General requirement to make procurement documents accessible</ital>
                      </link>
                      .
                    </paratext>
                  </para>
                  <para>
                    <paratext>
                      The ITT envisages that its Schedules shall be included as schedules to the eventual Contract, where relevant (see 
                      <link href="2-501-1525" style="ACTLinkPLCtoPLC">
                        <ital>Standard document, Services agreement for use by public sector bodies</ital>
                      </link>
                      ). The Authority may want to include the following information with the ITT:
                    </paratext>
                  </para>
                  <list type="bulleted">
                    <list.item>
                      <para>
                        <paratext>
                          <bold>Information about the current service.</bold>
                           This information enables the Tenderers to understand the existing service. Except where some of this information is included in the Specification for the new Contract, it should not form part of the final Contract (see 
                          <internal.reference refid="a884012">Drafting note, Providing details of existing service or current arrangements</internal.reference>
                          .)
                        </paratext>
                      </para>
                    </list.item>
                    <list.item>
                      <para>
                        <paratext>
                          <bold>Specification.</bold>
                           The specification constitutes a key part of the final Contract (see below).
                        </paratext>
                      </para>
                    </list.item>
                    <list.item>
                      <para>
                        <paratext>
                          <bold>Site plans.</bold>
                           For inclusion in the final Contract, if relevant.
                        </paratext>
                      </para>
                    </list.item>
                    <list.item>
                      <para>
                        <paratext>
                          <bold>Asset list.</bold>
                           For inclusion in the final Contract if any Authority or incumbent supplier assets are being transferred to or otherwise available for use by the Service Provider.
                        </paratext>
                      </para>
                    </list.item>
                    <list.item>
                      <para>
                        <paratext>
                          <bold>Contracts list.</bold>
                           For inclusion in the final Contract if any Authority or incumbent supplier contracts (for example, software licences) are being assigned or novated to the new supplier.
                        </paratext>
                      </para>
                    </list.item>
                    <list.item>
                      <para>
                        <paratext>
                          <bold>Applicable policies.</bold>
                           The Authority should include with the ITT any relevant policies that it requires the Service Provider to comply with (for example, on data security or health and safety). These policies will be incorporated into the final Contract.
                        </paratext>
                      </para>
                    </list.item>
                    <list.item>
                      <para>
                        <paratext>
                          <bold>Commercially sensitive information.</bold>
                           The Authority may give the Tenderers the opportunity to identify their commercially sensitive information. Although the Authority does not agree to keep the information confidential, it provides the Authority with guidance on when it should consult the Tenderer, before disclosing any of the information supplied by it under a FOI request. This list may form part of the final contract. It may not be convenient to list commercially sensitive information in contracts, as such lists may soon be out of date. It may be preferable for the parties to agree to consult if a FOI request is received for any information which could reasonably be viewed as commercially sensitive. For more information, see 
                          <link href="w-011-6127" style="ACTLinkPLCtoPLC">
                            <ital>Practice note, The application of FOIA exemptions and EIR exceptions to public procurement and public contracts information</ital>
                          </link>
                          .
                        </paratext>
                      </para>
                    </list.item>
                    <list.item>
                      <para>
                        <paratext>
                          <bold>Deed of guarantee.</bold>
                           If the Authority requires a guarantee, this will be included as a schedule to the final Contract. For more information, see 
                          <link href="3-203-0923" style="ACTLinkPLCtoPLC">
                            <ital>Standard document, Parent company guarantee (outsourcing)</ital>
                          </link>
                          .
                        </paratext>
                      </para>
                    </list.item>
                    <list.item>
                      <para>
                        <paratext>
                          <bold>Provisional list of employees who may transfer under TUPE</bold>
                           which should also be provided if the new service triggers a TUPE transfer under the 
                          <link href="2-505-5915" style="ACTLinkPLCtoPLC">
                            <ital>Transfer of Undertakings (Protection of Employment) Regulations 2006 (SI 2006/246)</ital>
                          </link>
                          . A final list will be included in the final Contract. However, the authority may not wish or be able to provide full details of the workforce at the date the contract notice is published. In that case, the authority should at least provide outline information. If the information is being withheld for reasons of confidentiality, the authority must inform Tenderers about access arrangements. (If the transferring employees are former public sector employees, the draft Contract should also include information about their current pension scheme and its conditions of participation, such as a draft admission agreement and, if necessary, a bond agreement.) This provisional list of transferring employees should be updated before the transfer date and the final list should be included in the Contract. For a template list, see 
                          <link href="4-386-2579" style="ACTLinkPLCtoPLC">
                            <ital>Standard document, TUPE: employee information spreadsheet on an outsourcing or re-tendering</ital>
                          </link>
                          .
                        </paratext>
                      </para>
                    </list.item>
                  </list>
                  <para>
                    <paratext>
                      For more information, see 
                      <link href="5-386-4771" style="ACTLinkPLCtoPLC">
                        <ital>Practice note, TUPE and tendering local authority service contracts</ital>
                      </link>
                      .
                    </paratext>
                  </para>
                  <division id="a242080" level="2">
                    <head align="left" preservecase="true">
                      <headtext>Specification</headtext>
                    </head>
                    <para>
                      <paratext>
                        In the Specification, the Authority should set out the detailed requirements for (each of) the Services. The more detail that can be included, the more comprehensive a response the Authority is likely to receive from each Tenderer and the easier it will be to compare Tenderers' responses on a like-for-like basis. There is often a balancing act between wanting to be provided with a comprehensive and detailed proposal on the one hand, without defining and pre-determining the solution on the other. For information on specifications, see 
                        <link href="5-542-5406" style="ACTLinkPLCtoPLC">
                          <ital>Practice note, Drafting specifications for services contracts (public sector)</ital>
                        </link>
                        .
                      </paratext>
                    </para>
                  </division>
                </division>
              </drafting.note>
            </subclause1>
            <subclause1 id="a336762">
              <identifier>3.7</identifier>
              <para>
                <paratext>
                  <bold>Consortia and subcontractors</bold>
                </paratext>
              </para>
              <para>
                <paratext>The Authority requires all Tenderers to identify whether any and, if so, which subcontracting or consortium arrangements apply in the case of their Tender, including the share (if any) of the Contract to be sub-contracted, the identity of the proposed sub-contractors, and which entity is proposed to be the Service Provider.</paratext>
              </para>
              <para>
                <paratext>For the purposes of this ITT, the following terms apply:</paratext>
              </para>
              <list type="bulleted">
                <list.item>
                  <para>
                    <paratext>
                      <bold>Consortium arrangement.</bold>
                       Where a number of economic operators come together to submit a bid for the Contract. The economic operators may already be part of an established consortium. Alternatively, the economic operators may constitute a temporary association which is intended to become a formalised structure (such as a special purpose vehicle (SPV) or a subcontracting arrangement) after the award of the Contract. Consortium structures may include a hub and spoke delivery model, a lead body model or an SPV.
                    </paratext>
                  </para>
                </list.item>
                <list.item>
                  <para>
                    <paratext>
                      <bold>Subcontracting arrangement.</bold>
                       Subcontracting could involve, for example, an economic operator bidding as a prime contractor and using a subcontractor or subcontractors to deliver some of the Services, or an economic operator bidding as a managing agent and using subcontractors to deliver all of the Services.
                    </paratext>
                  </para>
                </list.item>
              </list>
              <drafting.note id="a711900" jurisdiction="">
                <head align="left" preservecase="true">
                  <headtext>Consortia arrangements</headtext>
                </head>
                <division id="a000027" level="1">
                  <para>
                    <paratext>
                      This ITT envisages a wide range of consortium and sub-contracting arrangements which the Authority may wish to modify to meet its own requirements. For an examination of the procurement considerations for contracting authorities relating to consortia bidding and subcontracting see 
                      <link href="w-007-3927" style="ACTLinkPLCtoPLC">
                        <ital>Practice note, Consortia bidding and subcontracting in public procurement</ital>
                      </link>
                      .
                    </paratext>
                  </para>
                </division>
              </drafting.note>
            </subclause1>
            <subclause1 id="a671928">
              <identifier>3.8</identifier>
              <para>
                <paratext>
                  <bold>Warnings and disclaimers</bold>
                </paratext>
              </para>
              <para>
                <paratext>While the information contained in this ITT is believed to be correct at the time of issue, neither the Authority, its advisors, nor any other awarding authorities will accept any liability for its accuracy, adequacy or completeness, nor will any express or implied warranty be given. This exclusion extends to liability in relation to any statement, opinion or conclusion contained in or any omission from, this ITT (including its appendices) and in respect of any other written or oral communication transmitted (or otherwise made available) to any Tenderer. This exclusion does not extend to any fraudulent misrepresentation made by or on behalf of the Authority.</paratext>
              </para>
              <para>
                <paratext>If a Tenderer proposes to enter into a Contract with the Authority, it must rely on its own enquiries and on the terms and conditions set out in the Contract(s) (as and when finally executed), subject to the limitations and restrictions specified in it.</paratext>
              </para>
              <para>
                <paratext>Neither the issue of this ITT, nor any of the information presented in it, should be regarded as a commitment or representation on the part of the Authority (or any other person) to enter into a contractual arrangement.</paratext>
              </para>
            </subclause1>
            <subclause1 id="a400850">
              <identifier>3.9</identifier>
              <para>
                <paratext>
                  <bold>Confidentiality and Freedom of Information</bold>
                </paratext>
              </para>
              <para>
                <paratext>All information supplied by the Authority to Tenderers (including this ITT and all other documents relating to the procurement), whether in writing or orally, is supplied on condition that it (including the fact that the Tenderer has received this ITT) be kept confidential by the Tenderer; it must not be copied, reproduced, distributed or passed to any other person at any time (except to professional advisors, consortium members or subcontractors for the sole purpose of enabling the Tenderer to submit a Tender) unless the information is already in the public domain.</paratext>
              </para>
              <para>
                <paratext>
                  As a public body, the Authority is subject to the provisions of the Freedom of Information Act 2000 (FOIA) and Environmental Information Regulations 2004 (S
                  <ital>I 2004/3391</ital>
                  ) (EIR) in respect of information it holds (including third party information). Any member of the public or other interested party may make a request for information. The Authority is also subject to various public sector transparency policies and legal requirements, including the placing of contract award notices on the Contracts Finder database which identify the contract values and successful supplier and the provision of information to candidates and tenderers in regulations 50 and 55 respectively of the PCR 2015.
                </paratext>
              </para>
              <para>
                <paratext>Tenderers should therefore be aware that information provided in connection with this procurement, or in connection with any contract awarded, may be disclosed by the Authority, unless the Authority decides (in its absolute discretion) that one of the statutory exemptions under the FOIA or the EIR applies. Requests for information and application of any exemptions shall be considered on a case-by-case basis. By taking part in this procurement, Tenderers agree to such disclosure or publication by the Authority.</paratext>
              </para>
              <para>
                <paratext>
                  Tenderers may designate any information supplied as part of their tender response or otherwise in connection with the procurement as confidential or commercially sensitive by clearly identifying it as such to the Authority in the template provided at 
                  <internal.reference refid="a145332">Schedule 9</internal.reference>
                  . Blanket protective markings applied to the whole document will not be sufficient. While designating material as confidential or commercially sensitive or equivalent does not guarantee non-disclosure, the Authority will consider this as part of any disclosure decision.
                </paratext>
              </para>
              <drafting.note id="a479664" jurisdiction="">
                <head align="left" preservecase="true">
                  <headtext>Confidentiality and freedom of information</headtext>
                </head>
                <division id="a000028" level="1">
                  <para>
                    <paratext>
                      Under 
                      <link href="https://uk.practicallaw.thomsonreuters.com/6-601-9986?originationContext=document&amp;amp;transitionType=PLDocumentLink&amp;amp;contextData=(sc.Default)&amp;amp;ppcid=f91bd362e2c94db585aa40210ecab077" style="ACTLinkURL">
                        <ital>regulation 21</ital>
                      </link>
                       of the PCR 2015, a contracting authority must not disclose information forwarded to it by an economic operator which the economic operator has reasonably designated as confidential. Confidential information includes technical or trade secrets and the confidential aspects of tenders. The obligations under regulation 21 are subject to any disclosure obligations the public body has under the Freedom of Information Act 2000 and any other provision of Part 2 of the PCR 2015 relating to the advertising of awarded contracts and the provision of information to candidates and tenderers in regulations 50 and 55 respectively. See 
                      <link href="w-037-6691" style="ACTLinkPLCtoPLC">
                        <ital>Legal update, Judgment on preliminary reference ruling from Polish court on excessive treatment of confidential information in procurement procedures (ECJ)</ital>
                      </link>
                      .
                    </paratext>
                  </para>
                  <para>
                    <paratext>
                      Tenderers should be made aware of the possibility that information submitted as part of their tender responses may need to be disclosed by virtue of the Authority's transparency and disclosure obligations (for example, under the 
                      <link href="4-505-6037" style="ACTLinkPLCtoPLC">
                        <ital>FOIA</ital>
                      </link>
                      , 
                      <link href="3-508-2782" style="ACTLinkPLCtoPLC">
                        <ital>EIR</ital>
                      </link>
                       or other policies). Any decision to disclose will ultimately lie with the Authority, but it is commonplace to give tenderers the option to designate certain information they submit as commercially sensitive for authorities to take into account when considering whether and what to disclose.
                    </paratext>
                  </para>
                  <para>
                    <paratext>
                      For more information about contracting authorities' disclosure obligations under 
                      <link href="4-505-6037" style="ACTLinkPLCtoPLC">
                        <ital>FOIA</ital>
                      </link>
                      <ital> </ital>
                      and 
                      <link href="3-508-2782" style="ACTLinkPLCtoPLC">
                        <ital>EIR</ital>
                      </link>
                      , see:
                    </paratext>
                  </para>
                  <list type="bulleted">
                    <list.item>
                      <para>
                        <paratext>
                          <link href="w-007-8162" style="ACTLinkPLCtoPLC">
                            <ital>Practice note, Freedom of information in public procurement and public sector contracts: overview</ital>
                          </link>
                          .
                        </paratext>
                      </para>
                    </list.item>
                    <list.item>
                      <para>
                        <paratext>
                          <link href="w-011-6127" style="ACTLinkPLCtoPLC">
                            <ital>Practice note, The application of FOIA exemptions and EIR exceptions to public procurement and public contracts information</ital>
                          </link>
                          <ital>.</ital>
                        </paratext>
                      </para>
                    </list.item>
                    <list.item>
                      <para>
                        <paratext>
                          <link href="w-026-4537" style="ACTLinkPLCtoPLC">
                            <ital>Freedom of Information Act 2000: section 40 exemption for personal data (UK GDPR and DPA 2018)</ital>
                          </link>
                          <ital>.</ital>
                        </paratext>
                      </para>
                    </list.item>
                    <list.item>
                      <para>
                        <paratext>
                          <link href="w-013-0384" style="ACTLinkPLCtoPLC">
                            <ital>Checklist, Handling freedom of information requests for procurement and public contracts information</ital>
                          </link>
                          .
                        </paratext>
                      </para>
                    </list.item>
                  </list>
                  <division id="a327144" level="2">
                    <head align="left" preservecase="true">
                      <headtext>Tender responses containing personal data</headtext>
                    </head>
                    <para>
                      <paratext>
                        Tender responses (or other documents forming part of the response) may contain 
                        <link href="8-200-3413" style="ACTLinkPLCtoPLC">
                          <ital>personal data</ital>
                        </link>
                         relating to a tenderer's employees or contractors, such as their name, address or date of birth. Contracting authorities must comply with applicable data protection legislation when processing such data.
                      </paratext>
                    </para>
                    <para>
                      <paratext>
                        Given the nature of procurement exercises (and the fact that the contracting authority determines how to process such information), our view is that the contracting authority would most likely be acting as a 
                        <link href="5-107-5723" style="ACTLinkPLCtoPLC">
                          <ital>controller</ital>
                        </link>
                         and would therefore need to process any personal data contained in the tender responses submitted in accordance with UK data protection laws.
                      </paratext>
                    </para>
                    <para>
                      <paratext>
                        Since the end of the 
                        <link href="w-023-9796" style="ACTLinkPLCtoPLC">
                          <ital>UK-EU transition period</ital>
                        </link>
                         (31 December 2020), the 
                        <link href="w-026-8528" style="ACTLinkPLCtoPLC">
                          <ital>UK GPDR</ital>
                        </link>
                         has applied to UK contracting authorities and (together with the 
                        <link href="w-014-9417" style="ACTLinkPLCtoPLC">
                          <ital>Data Protection Act 2018</ital>
                        </link>
                         (DPA 2018) forms the bedrock of the UK data protection regime. For more information see Practice notes:
                      </paratext>
                    </para>
                    <list type="bulleted">
                      <list.item>
                        <para>
                          <paratext>
                            <link href="w-022-0576" style="ACTLinkPLCtoPLC">
                              <ital>UK GDPR and DPA 2018: quick guide</ital>
                            </link>
                            .
                          </paratext>
                        </para>
                      </list.item>
                      <list.item>
                        <para>
                          <paratext>
                            <link href="w-013-3757" style="ACTLinkPLCtoPLC">
                              <ital>Overview of UK GDPR</ital>
                            </link>
                            <ital>.</ital>
                          </paratext>
                        </para>
                      </list.item>
                      <list.item>
                        <para>
                          <paratext>
                            <link href="w-014-5998" style="ACTLinkPLCtoPLC">
                              <ital> Data Protection Act 2018: overview</ital>
                            </link>
                            .
                          </paratext>
                        </para>
                      </list.item>
                    </list>
                    <para>
                      <paratext>Among other things, the UK GDPR requires controllers to:</paratext>
                    </para>
                    <list type="bulleted">
                      <list.item>
                        <para>
                          <paratext>
                            Process personal data lawfully (that is, relying on one of the legal grounds for processing). Processing in the context of a public procurement will most likely be justifiable in performance of a task carried out in the public interest, or in exercise of official authority. For more, see 
                            <link anchor="a903087" href="w-013-3757" style="ACTLinkPLCtoPLC">
                              <ital>Practice note, Overview of UK GDPR: Lawful processing</ital>
                            </link>
                            .
                          </paratext>
                        </para>
                      </list.item>
                      <list.item>
                        <para>
                          <paratext>
                            Notify individuals about how their personal data will be handled even if that data has not been collected directly from those individuals (as will usually be the case with tenders). Exemptions from this requirement are available, such as where providing the information would be impossible or involve disproportionate effort on the part of the contracting authority. For more information on this requirement and exceptions, see 
                            <link anchor="a760792" href="w-013-3757" style="ACTLinkPLCtoPLC">
                              <ital>Practice note, Overview of the UK GDPR: Fair processing: information notices</ital>
                            </link>
                            <ital> </ital>
                            and 
                            <link anchor="a397132" href="w-013-3757" style="ACTLinkPLCtoPLC">
                              <ital>Data collected by third parties</ital>
                            </link>
                            .
                          </paratext>
                        </para>
                      </list.item>
                    </list>
                    <para>
                      <paratext>
                        For further information on the two points above see 
                        <link anchor="a856964" href="w-011-6435" style="ACTLinkPLCtoPLC">
                          <ital>Practice note, UK GDPR and DPA 2018: implications for the public sector: First data protection principle: lawful, fair and transparent processing</ital>
                        </link>
                        .
                      </paratext>
                    </para>
                    <para>
                      <paratext>
                        Authorities will need to review how best to comply with the information requirements, insofar as relevant to their public procurement exercises. Options to consider include displaying a separate privacy notice for public procurement exercises on their website or procurement portal or including the required information within their general privacy policy. It would be unusual for an ITT to deal with data protection issues, but some authorities may want to include a link to the relevant privacy policy or notice. For sample privacy notices (which are for use by companies rather than public authorities), see 
                        <link href="w-013-3605" style="ACTLinkPLCtoPLC">
                          <ital>Standard documents, Website privacy policy (UK) </ital>
                        </link>
                        and 
                        <link href="w-014-8428" style="ACTLinkPLCtoPLC">
                          <ital>Short form privacy notice (UK)</ital>
                        </link>
                      </paratext>
                    </para>
                    <para>
                      <paratext>
                        For further information on the implications of the UK data protection regime for contracting authorities (including data security and dealing with data subject access requests), see 
                        <link href="w-011-6435" style="ACTLinkPLCtoPLC">
                          <ital>Practice notes, UK GDPR and DPA 2018: implications for the public sector</ital>
                        </link>
                         and 
                        <link href="w-017-0973" style="ACTLinkPLCtoPLC">
                          <ital>UK GDPR and DPA 2018 exemptions and conditions: public sector</ital>
                        </link>
                        .
                      </paratext>
                    </para>
                    <para>
                      <paratext>
                        For an overview of the UK data protection regime post-Brexit, see 
                        <link href="w-026-2740" style="ACTLinkPLCtoPLC">
                          <ital>Practice notes, Brexit post-transition period: data protection (UK)</ital>
                        </link>
                         and 
                        <link href="w-016-7309" style="ACTLinkPLCtoPLC">
                          <ital>Brexit: implications for data protection</ital>
                        </link>
                      </paratext>
                    </para>
                  </division>
                </division>
              </drafting.note>
            </subclause1>
            <subclause1 id="a749288">
              <identifier>3.10</identifier>
              <para>
                <paratext>
                  <bold>Publicity</bold>
                </paratext>
              </para>
              <para>
                <paratext>No publicity regarding the Services or the award of any Contract will be permitted unless and until the Authority has given prior express written consent to the relevant communication. For example, no statements may be made to the media regarding the nature of any Tender, its contents or any proposals relating to it without the prior written consent of the Authority.</paratext>
              </para>
            </subclause1>
            <subclause1 id="a699927">
              <identifier>3.11</identifier>
              <para>
                <paratext>
                  <bold>Tenderer conduct and conflicts of interest</bold>
                </paratext>
              </para>
              <para>
                <paratext>Any attempt by Tenderers or their advisors to influence the contract award process in any way may result in the Tenderer being disqualified. Specifically, Tenderers shall not directly or indirectly at any time:</paratext>
              </para>
              <list type="bulleted">
                <list.item>
                  <para>
                    <paratext>Devise or amend the content of their Tender in accordance with any agreement or arrangement with any other person, other than in good faith with a person who is a proposed partner, supplier, consortium member or provider of finance.</paratext>
                  </para>
                </list.item>
                <list.item>
                  <para>
                    <paratext>Enter into any agreement or arrangement with any other person as to the form or content of any other Tender, or offer to pay any sum of money or valuable consideration to any person to effect changes to the form or content of any other Tender.</paratext>
                  </para>
                </list.item>
                <list.item>
                  <para>
                    <paratext>Enter into any agreement or arrangement with any other person that has the effect of prohibiting or excluding that person from submitting a Tender.</paratext>
                  </para>
                </list.item>
                <list.item>
                  <para>
                    <paratext>Canvass the Authority or any employees or agents of the Authority in relation to this procurement.</paratext>
                  </para>
                </list.item>
                <list.item>
                  <para>
                    <paratext>Offer, promise or give any person working for or engaged by the Authority a financial or other advantage as an inducement or reward for any improper performance of a function or activity relating to this procurement.</paratext>
                  </para>
                </list.item>
                <list.item>
                  <para>
                    <paratext>Attempt to obtain information from any of the employees or agents of the Authority or their advisors concerning another Tenderer or Tender.</paratext>
                  </para>
                </list.item>
              </list>
              <para>
                <paratext>Tenderers are responsible for ensuring that no direct or indirect conflicts of interest exist (whether personal, financial or otherwise) between the Tenderer, its employees and advisors, and the Authority, its employees and advisors. Tenderers must prevent, identify and remedy any conflicts of interest within their group structures and within Consortium or Subcontracting arrangements which may result in any distortion of competition. Any Tenderer who fails to comply with these requirements may be disqualified from the procurement at the discretion of the Authority.</paratext>
              </para>
            </subclause1>
            <subclause1 id="a582432">
              <identifier>3.12</identifier>
              <para>
                <paratext>
                  <bold>Authority's rights</bold>
                </paratext>
              </para>
              <para>
                <paratext>The Authority reserves the right to:</paratext>
              </para>
              <list type="bulleted">
                <list.item>
                  <para>
                    <paratext>Waive or change the requirements of this ITT from time to time without prior (or any) notice being given by the Authority.</paratext>
                  </para>
                </list.item>
                <list.item>
                  <para>
                    <paratext>Seek clarification in respect of any part of a Tenderer's submission.</paratext>
                  </para>
                </list.item>
                <list.item>
                  <para>
                    <paratext>Request Tenderers to submit, supplement, clarify or complete relevant information or documentation where it appears to be incomplete, erroneous or missing.</paratext>
                  </para>
                </list.item>
                <list.item>
                  <para>
                    <paratext>Disqualify any Tenderer that does not submit a compliant Tender in accordance with the instructions in this ITT.</paratext>
                  </para>
                </list.item>
                <list.item>
                  <para>
                    <paratext>Disqualify any Tenderer that is guilty of serious misrepresentation or of negligently providing misleading information in relation to its Tender, expression of interest, the SQ or the tender process.</paratext>
                  </para>
                </list.item>
                <list.item>
                  <para>
                    <paratext>Reject a Tender that is abnormally low.</paratext>
                  </para>
                </list.item>
                <list.item>
                  <para>
                    <paratext>Not award a contract to the Tenderer submitting the most economically advantageous Tender where it has established that the Tender does not comply with applicable obligations in the fields of environmental, social and labour law established by national law, collective agreements or by the international environmental, social and labour law provisions listed in Annex X to Directive 2014/24 as amended from time to time.</paratext>
                  </para>
                </list.item>
                <list.item>
                  <para>
                    <paratext>Withdraw this ITT at any time, or to re-invite Tenders on the same or any alternative basis.</paratext>
                  </para>
                </list.item>
                <list.item>
                  <para>
                    <paratext>Choose not to award any Contract [or Lot] as a result of the current procurement process or to abandon that process.</paratext>
                  </para>
                </list.item>
                <list.item>
                  <para>
                    <paratext>Make whatever changes it sees fit to the Timetable, structure or content of the procurement process, depending on approvals processes or for any other reason.</paratext>
                  </para>
                </list.item>
              </list>
            </subclause1>
            <subclause1 id="a934916">
              <identifier>3.13</identifier>
              <para>
                <paratext>
                  <bold>Bid costs</bold>
                </paratext>
              </para>
              <para>
                <paratext>The Authority will not be liable for any bid costs, expenditure, work or effort incurred by a Tenderer in proceeding with or participating in this procurement, including if the procurement process is terminated or amended by the Authority.</paratext>
              </para>
            </subclause1>
            <subclause1 id="a877464">
              <identifier>3.14</identifier>
              <para>
                <paratext>
                  <bold>Guarantees</bold>
                </paratext>
              </para>
              <para>
                <paratext>
                  Recipients of this ITT will note that 
                  <internal.reference refid="a138696">Schedule 10</internal.reference>
                   is a form of deed of guarantee. The Authority may have qualified the Tenderer on the assumption that, where the Tenderer is an operating company, it will be guaranteed by the parent company. As a result, the Authority may require each Tenderer to confirm the identity of the guarantor of its obligations under any Contract(s). This guarantor should be the ultimate parent company of the Tenderer, except in exceptional circumstances. In the case of consortia, the Authority will require confirmation that the consortium will provide either a parent company guarantee from the lead consortium member or its parent or an equivalent level of security.
                </paratext>
              </para>
            </subclause1>
          </clause>
          <clause id="a1029112">
            <identifier>4.</identifier>
            <head align="left" preservecase="true">
              <headtext>Tender evaluation model</headtext>
            </head>
            <subclause1 id="a338872">
              <identifier>4.1</identifier>
              <para>
                <paratext>
                  <bold>Award Criteria and Evaluation Criteria</bold>
                </paratext>
              </para>
              <para>
                <paratext>
                  Any Contract(s) awarded as a result of this procurement will be awarded on the basis of the offer that is the most economically advantageous to the Authority. The Award Criteria (
                  <bold>Award Criteria</bold>
                  ) are:
                </paratext>
              </para>
              <list type="bulleted">
                <list.item>
                  <para>
                    <paratext>[PERCENTAGE]% technical or quality.</paratext>
                  </para>
                </list.item>
                <list.item>
                  <para>
                    <paratext>[PERCENTAGE]% cost.</paratext>
                  </para>
                </list.item>
              </list>
              <para>
                <paratext>
                  Scores are arrived at following the application of the Evaluation Criteria (
                  <bold>Evaluation Criteria</bold>
                  ) set out below to the Tenderer's Tender.
                </paratext>
              </para>
              <para>
                <paratext>Tenderers are required to submit a Tender strictly in accordance with the requirements set out in this ITT, to ensure the Authority has the correct information to make the evaluation. Evasive, unclear or hedged Tenders may be discounted in evaluation and may, at the Authority's discretion, be taken as a rejection by the Tenderer of the terms set out in this ITT.</paratext>
              </para>
              <para>
                <paratext>The Tender Evaluation Model showing the Evaluation Criteria and the maximum scores attributable to them is set out below.</paratext>
              </para>
              <para>
                <paratext>
                  [Where specified, a minimum pass mark (
                  <defn.term>Threshold</defn.term>
                  ) applies to the Evaluation Criteria. The Authority shall reject any Tender which does not meet the relevant Threshold in respect of one or more criteria.]
                </paratext>
              </para>
              <para>
                <paratext>
                  <table frame="all" pgwide="1">
                    <tgroup cols="6">
                      <colspec colname="1" colnum="1" colwidth="15"/>
                      <colspec colname="2" colnum="2" colwidth="19"/>
                      <colspec colname="3" colnum="3" colwidth="15"/>
                      <colspec colname="4" colnum="4" colwidth="19"/>
                      <colspec colname="5" colnum="5" colwidth="16"/>
                      <colspec colname="6" colnum="6" colwidth="13"/>
                      <tbody>
                        <row>
                          <entry valign="top">
                            <para align="left">
                              <paratext>
                                <bold>Evaluation Criteria: Commercial</bold>
                              </paratext>
                            </para>
                          </entry>
                          <entry valign="top">
                            <para align="left">
                              <paratext>
                                <bold>Threshold [PERCENTAGE]%</bold>
                              </paratext>
                            </para>
                          </entry>
                          <entry valign="top">
                            <para align="left">
                              <paratext>
                                <bold>Weighting [MULTIPLIER]</bold>
                              </paratext>
                            </para>
                          </entry>
                          <entry valign="top">
                            <para align="left">
                              <paratext>
                                <bold>[PERCENTAGE]%</bold>
                              </paratext>
                            </para>
                          </entry>
                          <entry valign="top">
                            <para align="left">
                              <paratext>
                                <bold>Means of evaluation</bold>
                              </paratext>
                            </para>
                          </entry>
                          <entry valign="top">
                            <para align="left">
                              <paratext>
                                <bold>Means of moderation</bold>
                              </paratext>
                            </para>
                          </entry>
                        </row>
                        <row>
                          <entry valign="top">
                            <para align="left">
                              <paratext>[Price-comparison of total cost]</paratext>
                            </para>
                          </entry>
                          <entry valign="top">
                            <para>
                              <paratext/>
                            </para>
                          </entry>
                          <entry valign="top">
                            <para>
                              <paratext/>
                            </para>
                          </entry>
                          <entry valign="top">
                            <para>
                              <paratext/>
                            </para>
                          </entry>
                          <entry valign="top">
                            <para align="left">
                              <paratext>[FOR EXAMPLE, COMPLETED PRICE BREAKDOWN]</paratext>
                            </para>
                          </entry>
                          <entry valign="top">
                            <para align="left">
                              <paratext>Not applicable</paratext>
                            </para>
                          </entry>
                        </row>
                        <row>
                          <entry valign="top">
                            <para align="left">
                              <paratext>[Profit sharing or gain share arrangements]</paratext>
                            </para>
                          </entry>
                          <entry valign="top">
                            <para>
                              <paratext/>
                            </para>
                          </entry>
                          <entry valign="top">
                            <para>
                              <paratext/>
                            </para>
                          </entry>
                          <entry valign="top">
                            <para>
                              <paratext/>
                            </para>
                          </entry>
                          <entry valign="top">
                            <para align="left">
                              <paratext>[FOR EXAMPLE, WRITTEN SUBMISSIONS]</paratext>
                            </para>
                          </entry>
                          <entry valign="top">
                            <para align="left">
                              <paratext>Not applicable</paratext>
                            </para>
                          </entry>
                        </row>
                        <row>
                          <entry valign="top">
                            <para align="left">
                              <paratext>[OTHER EVALUATION CRITERIA]</paratext>
                            </para>
                          </entry>
                          <entry valign="top">
                            <para>
                              <paratext/>
                            </para>
                          </entry>
                          <entry valign="top">
                            <para>
                              <paratext/>
                            </para>
                          </entry>
                          <entry valign="top">
                            <para>
                              <paratext/>
                            </para>
                          </entry>
                          <entry valign="top">
                            <para align="left">
                              <paratext>[DETAIL]</paratext>
                            </para>
                          </entry>
                          <entry valign="top">
                            <para align="left">
                              <paratext>Not applicable</paratext>
                            </para>
                          </entry>
                        </row>
                      </tbody>
                    </tgroup>
                  </table>
                </paratext>
              </para>
              <para>
                <paratext>
                  <table frame="all" pgwide="1">
                    <tgroup cols="6">
                      <colspec colname="1" colnum="1" colwidth="17"/>
                      <colspec colname="2" colnum="2" colwidth="17"/>
                      <colspec colname="3" colnum="3" colwidth="14"/>
                      <colspec colname="4" colnum="4" colwidth="17"/>
                      <colspec colname="5" colnum="5" colwidth="16"/>
                      <colspec colname="6" colnum="6" colwidth="16"/>
                      <tbody>
                        <row>
                          <entry valign="top">
                            <para align="left">
                              <paratext>
                                <bold>Evaluation Criteria: Technical</bold>
                              </paratext>
                            </para>
                          </entry>
                          <entry valign="top">
                            <para align="left">
                              <paratext>
                                <bold>Threshold [PERCENTAGE]%</bold>
                              </paratext>
                            </para>
                          </entry>
                          <entry valign="top">
                            <para align="left">
                              <paratext>
                                <bold>Weighting [MULTIPLIER]</bold>
                              </paratext>
                            </para>
                          </entry>
                          <entry valign="top">
                            <para align="left">
                              <paratext>
                                <bold>[PERCENTAGE]%</bold>
                              </paratext>
                            </para>
                          </entry>
                          <entry valign="top">
                            <para align="left">
                              <paratext>
                                <bold>Means of evaluation</bold>
                              </paratext>
                            </para>
                          </entry>
                          <entry valign="top">
                            <para align="left">
                              <paratext>
                                <bold>Means of moderation</bold>
                              </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[Staff transfer]</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[OTHER EVALUATION CRITERIA]</paratext>
                            </para>
                          </entry>
                          <entry valign="top">
                            <para>
                              <paratext/>
                            </para>
                          </entry>
                          <entry valign="top">
                            <para>
                              <paratext/>
                            </para>
                          </entry>
                          <entry valign="top">
                            <para>
                              <paratext/>
                            </para>
                          </entry>
                          <entry valign="top">
                            <para>
                              <paratext/>
                            </para>
                          </entry>
                          <entry valign="top">
                            <para>
                              <paratext/>
                            </para>
                          </entry>
                        </row>
                      </tbody>
                    </tgroup>
                  </table>
                </paratext>
              </para>
              <drafting.note id="a610720" jurisdiction="">
                <head align="left" preservecase="true">
                  <headtext>Evaluation Criteria</headtext>
                </head>
                <division id="a000029" level="1">
                  <para>
                    <paratext>
                      The Evaluation Criteria depend on the nature of the Services being procured. Some generic example questions, grouped under broad headings, are included in the drafting notes to 
                      <link href="4-599-9626" style="ACTLinkPLCtoPLC">
                        <ital>Standard document, Invitation to tender (PCR 2015): questions for tenderers</ital>
                      </link>
                      .
                    </paratext>
                  </para>
                  <para>
                    <paratext>If you are using references, presentations or reference site visits to evaluate criteria or to moderate scores, these should be clearly identified in the Tender Evaluation Model.</paratext>
                  </para>
                  <para>
                    <paratext>If you are applying a Threshold to any of the Evaluation Criteria, you should ensure it is not set too high for risk of being forced to discount an otherwise robust Tender.</paratext>
                  </para>
                  <para>
                    <paratext>
                      For information on evaluating Tenders (including what matters may be assessed and example scoring models), see 
                      <link href="2-386-8761" style="ACTLinkPLCtoPLC">
                        <ital>Practice note, Evaluation of tenders</ital>
                      </link>
                      .
                    </paratext>
                  </para>
                  <para>
                    <paratext>
                      If you are permitting Variant Bids, you must specify the basis on which they will be evaluated. For more information, see 
                      <internal.reference refid="a804149">Drafting note, Variant Bids</internal.reference>
                      .
                    </paratext>
                  </para>
                </division>
              </drafting.note>
            </subclause1>
            <subclause1 condition="optional" id="a574972">
              <identifier>4.2</identifier>
              <para>
                <paratext>
                  <bold>Evaluation of Variant Bids or Lots</bold>
                </paratext>
              </para>
              <para>
                <paratext>Variant Bids submitted by Tenderers will be evaluated against the same Evaluation Criteria and will use the same evaluation methodology as the Reference Bids.</paratext>
              </para>
              <para>
                <paratext>[ANY RELEVANT INFORMATION ABOUT THE EVALUATION OF LOTS]</paratext>
              </para>
              <drafting.note id="a677854" jurisdiction="">
                <head align="left" preservecase="true">
                  <headtext>Scoring lots</headtext>
                </head>
                <division id="a000030" level="1">
                  <para>
                    <paratext>Unless the same Service Provider wins all Lots, the Authority may want the ability to score Tenders based on their proposals for a joined-up service. If so, the Authority should include Evaluation Criteria which enables it to assess the Service Providers' commitment and ability to work in partnership across the Lots. However, if this issue is crucial to the Authority, splitting the contract into Lots in this way may be inappropriate.</paratext>
                  </para>
                </division>
              </drafting.note>
            </subclause1>
            <subclause1 id="a322035">
              <identifier>4.3</identifier>
              <para>
                <paratext>
                  <bold>Evaluation process</bold>
                </paratext>
              </para>
              <para>
                <paratext>
                  <bold>Technical or quality evaluation</bold>
                </paratext>
              </para>
              <para>
                <paratext>The technical evaluation will be scored in accordance with the table below.</paratext>
              </para>
              <para>
                <paratext>
                  <bold>Scoring matrix for the technical and quality criteria</bold>
                </paratext>
              </para>
              <para>
                <paratext>
                  <table frame="all" pgwide="1">
                    <tgroup cols="2">
                      <colspec colname="1" colnum="1" colwidth="14"/>
                      <colspec colname="2" colnum="2" colwidth="85"/>
                      <tbody>
                        <row>
                          <entry valign="top">
                            <para align="left">
                              <paratext>0</paratext>
                            </para>
                          </entry>
                          <entry valign="top">
                            <para align="left">
                              <paratext>Completely fails to meet required standard or does not provide a proposal.</paratext>
                            </para>
                          </entry>
                        </row>
                        <row>
                          <entry valign="top">
                            <para align="left">
                              <paratext>1</paratext>
                            </para>
                          </entry>
                          <entry valign="top">
                            <para align="left">
                              <paratext>Proposal significantly fails to meet the standards required, contains significant shortcomings or is inconsistent with other proposals.</paratext>
                            </para>
                          </entry>
                        </row>
                        <row>
                          <entry valign="top">
                            <para align="left">
                              <paratext>2</paratext>
                            </para>
                          </entry>
                          <entry valign="top">
                            <para align="left">
                              <paratext>Proposal falls short of achieving expected standard in a number of identifiable respects.</paratext>
                            </para>
                          </entry>
                        </row>
                        <row>
                          <entry valign="top">
                            <para align="left">
                              <paratext>3</paratext>
                            </para>
                          </entry>
                          <entry valign="top">
                            <para align="left">
                              <paratext>Proposal meets the required standard in most material respects but is lacking or inconsistent in others.</paratext>
                            </para>
                          </entry>
                        </row>
                        <row>
                          <entry valign="top">
                            <para align="left">
                              <paratext>4</paratext>
                            </para>
                          </entry>
                          <entry valign="top">
                            <para align="left">
                              <paratext>Proposal meets the required standard in all material respects.</paratext>
                            </para>
                          </entry>
                        </row>
                        <row>
                          <entry valign="top">
                            <para align="left">
                              <paratext>5</paratext>
                            </para>
                          </entry>
                          <entry valign="top">
                            <para align="left">
                              <paratext>Proposal meets the required standard in all material respects and exceeds some or all of the major requirements.</paratext>
                            </para>
                          </entry>
                        </row>
                      </tbody>
                    </tgroup>
                  </table>
                </paratext>
              </para>
              <drafting.note id="a831821" jurisdiction="">
                <head align="left" preservecase="true">
                  <headtext>Scoring matrix for the technical and quality criteria</headtext>
                </head>
                <division id="a000031" level="1">
                  <para>
                    <paratext>The scoring matrix envisages that 20% of the available marks are awarded to proposals that offer more than the Authority requires. This may or may not be appropriate, depending on the service. If the Authority uses this model, it should provide information to the Tenderers on which additions or enhancements it would consider represent added value beyond its stated requirements. If it does not, the Tender may include additional services, which are charged for, but which do not provide a real benefit to the Authority. If no additions or enhancements are required, an alternative scoring system can be used, under which top marks are awarded for responses which meet the Authority's requirements in full, but do not exceed them.</paratext>
                  </para>
                  <para>
                    <paratext>If the Authority considers that a 0-5 scoring matrix is too restrictive, it could use a 0-10 scoring matrix with a range of marks for each description to provide more flexibility for evaluators.</paratext>
                  </para>
                  <para>
                    <paratext>
                      For an alternative scoring matrix and a worked example of scoring pricing, see 
                      <link href="2-386-8761#a335366" style="ACTLinkPLCtoPLC">
                        <ital>Practice note, Evaluation of tenders: Use of a scoring model to evaluate the financial element</ital>
                      </link>
                      .
                    </paratext>
                  </para>
                </division>
              </drafting.note>
              <para>
                <paratext>
                  <bold>Pricing evaluation</bold>
                </paratext>
              </para>
              <para>
                <paratext>Bid prices will be scored:</paratext>
              </para>
              <para>
                <paratext>[On a comparative basis with the lowest bid receiving 100% of the available marks ([PERCENTAGE]% following weighting). All other bids will be compared [against that lowest bid]</paratext>
              </para>
              <para>
                <paratext>
                  <bold>OR</bold>
                </paratext>
              </para>
              <para>
                <paratext>Against the Authority's benchmark overall cost of £[AMOUNT] with the benchmark figure scoring 0%. Any bid which exceeds the Authority's benchmark shall be treated as non-compliant and rejected].</paratext>
              </para>
              <para>
                <paratext>[INSERT WORKED EXAMPLE OF FORMULA]</paratext>
              </para>
              <drafting.note id="a972297" jurisdiction="">
                <head align="left" preservecase="true">
                  <headtext>Specifying a contract value and pricing evaluation</headtext>
                </head>
                <division id="a000032" level="1">
                  <para>
                    <paratext>Contracting authorities may be nervous of specifying a contract value for fear of attracting bids which are above, at or just below that value. However, this figure must be disclosed if bids are to be evaluated against it.</paratext>
                  </para>
                  <para>
                    <paratext>There are two common methods of evaluating price, though these two basic models have many variants:</paratext>
                  </para>
                  <list type="bulleted">
                    <list.item>
                      <para>
                        <paratext>The Authority sets a benchmark price, usually a maximum or optimum price, with all bids scored on a comparative basis against that price.</paratext>
                      </para>
                    </list.item>
                    <list.item>
                      <para>
                        <paratext>No benchmark is set and the lowest bid price scores the maximum marks available for the price evaluation. All other prices are awarded scores depending on what percentage the lowest price is of their price.</paratext>
                      </para>
                    </list.item>
                  </list>
                  <para>
                    <paratext>The above wording will need to be amended to select the appropriate method or deleted and an alternative method inserted.</paratext>
                  </para>
                  <para>
                    <paratext>However, various issues and inconsistencies can arise through the use of formulae and it is therefore important to run dummy scores through the proposed model to eliminate any anomalies.</paratext>
                  </para>
                  <para>
                    <paratext>Where the Authority has a fixed budget, it may want to state that bids exceeding a specified limit will be deemed non-compliant and will be rejected. Otherwise it must rely on the Award Criteria to ensure it does not end up with a technically superior, but unaffordable solution.</paratext>
                  </para>
                  <para>
                    <paratext>
                      For more information and an alternative way of evaluating price, see 
                      <link href="2-386-8761" style="ACTLinkPLCtoPLC">
                        <ital>Practice note, Evaluation of tenders</ital>
                      </link>
                      .
                    </paratext>
                  </para>
                  <para>
                    <paratext>The risk of encouraging bids which come in close to the specific value can be somewhat mitigated by:</paratext>
                  </para>
                  <list type="bulleted">
                    <list.item>
                      <para>
                        <paratext>Weighting the Award Criteria more on price than on the technical solution.</paratext>
                      </para>
                    </list.item>
                    <list.item>
                      <para>
                        <paratext>Including Evaluation Criteria on efficiencies and cost reduction.</paratext>
                      </para>
                    </list.item>
                  </list>
                  <para>
                    <paratext>
                      These criteria could either form part of the technical or the price evaluation, depending how they are phrased. The contract terms could also encourage efficiencies by operating a gain-share mechanism through which savings will be shared between the parties (see 
                      <link href="0-202-4551#a326019" style="ACTLinkPLCtoPLC">
                        <ital>Standard documents, Outsourcing agreement: long form: Service improvement and technology refresh</ital>
                      </link>
                       and 
                      <link href="2-501-1525#a577926" style="ACTLinkPLCtoPLC">
                        <ital>Services agreement for use by public sector bodies: Change control, benchmarking and continuous improvement</ital>
                      </link>
                      ).
                    </paratext>
                  </para>
                  <para>
                    <paratext>If the Authority is permitting any third-party organisations to use the contract (whether by procuring on their behalf or under a framework arrangement), the Authority must ensure the contract value specified in the ITT and the contract notice reflects that potential spend.</paratext>
                  </para>
                </division>
              </drafting.note>
              <drafting.note id="a532966" jurisdiction="">
                <head align="left" preservecase="true">
                  <headtext>Life cycle costing</headtext>
                </head>
                <division id="a000033" level="1">
                  <para>
                    <paratext>
                      If the Authority proposes to use life cycle costing to assess value for money, its approach must be set out in the procurement documents. For information about life cycle costing, see 
                      <link href="2-386-8761" style="ACTLinkPLCtoPLC">
                        <ital>Practice note, Evaluation of tenders</ital>
                      </link>
                      .
                    </paratext>
                  </para>
                </division>
              </drafting.note>
            </subclause1>
          </clause>
          <clause id="a409596">
            <identifier>5.</identifier>
            <head align="left" preservecase="true">
              <headtext>TUPE</headtext>
            </head>
            <subclause1 id="a463002">
              <identifier>5.1</identifier>
              <para>
                <paratext>
                  <bold>Transferring employees</bold>
                </paratext>
              </para>
              <para>
                <paratext>
                  The Authority envisages that the employees working on the current service shall transfer to the Service Provider or its subcontractors, under the Transfer of Undertakings (Protection of Employment) Regulations 2006 (
                  <ital>SI 2006/246</ital>
                  ) (
                  <bold>TUPE</bold>
                  ) along with the Services. These employees are currently employed by:
                </paratext>
              </para>
              <list type="bulleted">
                <list.item>
                  <para>
                    <paratext>The Authority (Transferring Employees).</paratext>
                  </para>
                </list.item>
                <list.item>
                  <para>
                    <paratext>The incumbent supplier (Third Party Employees).</paratext>
                  </para>
                </list.item>
              </list>
              <para>
                <paratext>
                  Provisional lists of the [Transferring Employees] [and the] [Third-Party Employees] are contained in 
                  <internal.reference refid="a277553">Schedule 7</internal.reference>
                  .
                </paratext>
              </para>
              <para>
                <paratext>Tenderers' pricing models must include the costs associated with the TUPE transfer of these employees. [If the costs associated with a TUPE transfer (including pensions costs) are subsequently found to be lower than envisaged, the Service Provider shall make a corresponding reduction in the contract price.]</paratext>
              </para>
              <drafting.note id="a612167" jurisdiction="">
                <head align="left" preservecase="true">
                  <headtext>TUPE and pensions</headtext>
                </head>
                <division id="a000034" level="1">
                  <para>
                    <paratext>
                      The drafting envisages that employees will transfer from the Authority and the incumbent supplier, as reflected in 
                      <link href="2-501-1525" style="ACTLinkPLCtoPLC">
                        <ital>Standard document, Services agreement for use by public sector bodies</ital>
                      </link>
                      . This section and the relevant paragraphs can be amended to reflect the actual staff groups transferring. It is advisable to include a price variation provision in the Contract to reflect any inaccuracies in the 
                      <link href="2-505-5915" style="ACTLinkPLCtoPLC">
                        <ital>TUPE</ital>
                      </link>
                       information provided in the ITT and if, for any other reason, the costs associated with a TUPE transfer (including pensions costs) are subsequently found to be lower than envisaged. See also 
                      <link href="5-386-4771" style="ACTLinkPLCtoPLC">
                        <ital>Practice note, TUPE and tendering local authority services contracts</ital>
                      </link>
                      .
                    </paratext>
                  </para>
                </division>
              </drafting.note>
            </subclause1>
            <subclause1 id="a302783">
              <identifier>5.2</identifier>
              <para>
                <paratext>
                  <bold>Pension requirements</bold>
                </paratext>
              </para>
              <para>
                <paratext>[INSERT REQUIREMENTS IN RELATION TO PENSION PROVISION]</paratext>
              </para>
              <para>
                <paratext>Tenderers are required to include indicative costings of their proposed pension provisions.</paratext>
              </para>
              <drafting.note id="a707912" jurisdiction="">
                <head align="left" preservecase="true">
                  <headtext>Requirements for transferring public sector employees</headtext>
                </head>
                <division id="a000035" level="1">
                  <para>
                    <paratext>
                      For information about pensions liabilities see 
                      <link anchor="a274276" href="5-386-4771" style="ACTLinkPLCtoPLC">
                        <ital>Practice note, TUPE and tendering local authority services contracts: Pensions liabilities</ital>
                      </link>
                      . For information relating to legacy public sector pension schemes see 
                      <link anchor="a772727" href="8-205-6270" style="ACTLinkPLCtoPLC">
                        <ital>Practice note, Public-sector pension schemes: outsourcing: Fair Deal 2013</ital>
                      </link>
                      <ital> </ital>
                      ,  
                      <link anchor="a549087" href="8-205-6270" style="ACTLinkPLCtoPLC">
                        <ital>Practice note, Public-sector pension schemes: outsourcing: Treatment of LGPS in outsourcing transactions</ital>
                      </link>
                       and 
                      <link anchor="a235524" href="8-205-6270" style="ACTLinkPLCtoPLC">
                        <ital>Practice note, Public-sector pension schemes: outsourcing: Becoming an admitted body in the LGPS</ital>
                      </link>
                      . See also 
                      <link href="5-382-4153" style="ACTLinkPLCtoPLC">
                        <ital>Practice note, Managing pensions risk in local authority outsourcing transactions</ital>
                      </link>
                      .
                    </paratext>
                  </para>
                </division>
              </drafting.note>
            </subclause1>
          </clause>
          <clause id="a897680">
            <identifier>6.</identifier>
            <head align="left" preservecase="true">
              <headtext>Assessment questions for completion by tenderers</headtext>
            </head>
            <drafting.note id="a387026" jurisdiction="">
              <head align="left" preservecase="true">
                <headtext>Tenderer's submissions</headtext>
              </head>
              <division id="a000036" level="1">
                <para>
                  <paratext>
                    Example questions for Tenderers are contained in 
                    <link href="4-599-9626" style="ACTLinkPLCtoPLC">
                      <ital>Standard document, Invitation to tender (PCR 2015): questions for tenderers</ital>
                    </link>
                    . 
                    <bold>This document provides example drafting only and should not be used without appropriate tailoring to the Authority's specific requirements.</bold>
                  </paratext>
                </para>
              </division>
            </drafting.note>
            <drafting.note id="a949220" jurisdiction="">
              <head align="left" preservecase="true">
                <headtext>Schedules</headtext>
              </head>
              <division id="a000037" level="1">
                <para>
                  <paratext>
                    Many of the schedules to the ITT will form schedules to the contract. For information relating to the incorporation of these documents into the contract, see 
                    <internal.reference refid="a176542">Drafting note, Documents forming the contract</internal.reference>
                    .
                  </paratext>
                </para>
              </division>
            </drafting.note>
          </clause>
        </operative>
        <disclosure.schedule>
          <schedule id="a468549">
            <identifier>Schedule 1</identifier>
            <head align="left" preservecase="true">
              <headtext>Draft contract</headtext>
            </head>
            <drafting.note id="a784106" jurisdiction="">
              <head align="left" preservecase="true">
                <headtext>Draft contract</headtext>
              </head>
              <division id="a000038" level="1">
                <para>
                  <paratext>
                    See 
                    <link href="2-501-1525" style="ACTLinkPLCtoPLC">
                      <ital>Standard document, Services agreement for use by public sector bodies</ital>
                    </link>
                    .
                  </paratext>
                </para>
              </division>
            </drafting.note>
          </schedule>
          <schedule id="a385689">
            <identifier>Schedule 2</identifier>
            <head align="left" preservecase="true">
              <headtext>Specification</headtext>
            </head>
            <drafting.note id="a737336" jurisdiction="">
              <head align="left" preservecase="true">
                <headtext>Specification</headtext>
              </head>
              <division id="a000039" level="1">
                <para>
                  <paratext>
                    See 
                    <internal.reference refid="a242080">Drafting note, Specification</internal.reference>
                    .
                  </paratext>
                </para>
              </division>
            </drafting.note>
          </schedule>
          <schedule id="a165427">
            <identifier>Schedule 3</identifier>
            <head align="left" preservecase="true">
              <headtext>Information about the current service</headtext>
            </head>
          </schedule>
          <schedule id="a560636">
            <identifier>Schedule 4</identifier>
            <head align="left" preservecase="true">
              <headtext>Site plans</headtext>
            </head>
          </schedule>
          <schedule id="a188057">
            <identifier>Schedule 5</identifier>
            <head align="left" preservecase="true">
              <headtext>Asset list</headtext>
            </head>
          </schedule>
          <schedule id="a1010519">
            <identifier>Schedule 6</identifier>
            <head align="left" preservecase="true">
              <headtext>Contracts list</headtext>
            </head>
          </schedule>
          <schedule id="a277553">
            <identifier>Schedule 7</identifier>
            <head align="left" preservecase="true">
              <headtext>Provisional list of transferring employees</headtext>
            </head>
          </schedule>
          <schedule id="a476453">
            <identifier>Schedule 8</identifier>
            <head align="left" preservecase="true">
              <headtext>Applicable policies</headtext>
            </head>
          </schedule>
          <schedule id="a145332">
            <identifier>Schedule 9</identifier>
            <head align="left" preservecase="true">
              <headtext>Commercially sensitive information.</headtext>
            </head>
            <para>
              <paratext>
                <bold>Commercially sensitive information</bold>
              </paratext>
            </para>
            <para>
              <paratext>I declare that I wish the following information to be designated as commercially sensitive [and to be appended to the Contract at Schedule [NUMBER]].</paratext>
            </para>
            <clause id="a000040">
              <para>
                <paratext>
                  <table frame="all" pgwide="1">
                    <tgroup cols="1">
                      <colspec colname="1" colnum="1" colwidth="100"/>
                      <tbody>
                        <row>
                          <entry valign="top">
                            <para>
                              <paratext/>
                            </para>
                          </entry>
                        </row>
                      </tbody>
                    </tgroup>
                  </table>
                </paratext>
              </para>
            </clause>
            <para>
              <paratext>The reason(s) it is considered that this information should be exempt under FOIA is:</paratext>
            </para>
            <clause id="a000041">
              <para>
                <paratext>
                  <table frame="all" pgwide="1">
                    <tgroup cols="1">
                      <colspec colname="1" colnum="1" colwidth="100"/>
                      <tbody>
                        <row>
                          <entry valign="top">
                            <para>
                              <paratext/>
                            </para>
                          </entry>
                        </row>
                      </tbody>
                    </tgroup>
                  </table>
                </paratext>
              </para>
            </clause>
            <para>
              <paratext>
                The period of time for which it is considered this information should be exempt is [until award of Contract 
                <bold>OR</bold>
                 during the period of the Contract 
                <bold>OR</bold>
                 for a period of [NUMBER] years until [MONTH], [YEAR]].
              </paratext>
            </para>
            <clause id="a000042">
              <para>
                <paratext>
                  <table frame="all" pgwide="1">
                    <tgroup cols="1">
                      <colspec colname="1" colnum="1" colwidth="100"/>
                      <tbody>
                        <row>
                          <entry valign="top">
                            <para>
                              <paratext/>
                            </para>
                          </entry>
                        </row>
                      </tbody>
                    </tgroup>
                  </table>
                </paratext>
              </para>
              <para>
                <paratext>
                  <table frame="none" pgwide="1">
                    <tgroup cols="2">
                      <colspec colname="1" colnum="1" colwidth="30"/>
                      <colspec colname="2" colnum="2" colwidth="69"/>
                      <tbody>
                        <row>
                          <entry valign="top">
                            <para align="left">
                              <paratext>SIGNATURE:</paratext>
                            </para>
                          </entry>
                          <entry valign="top">
                            <para align="left">
                              <paratext>_________________________________________</paratext>
                            </para>
                          </entry>
                        </row>
                        <row>
                          <entry valign="top">
                            <para align="left">
                              <paratext>NAME (PRINT):</paratext>
                            </para>
                          </entry>
                          <entry valign="top">
                            <para align="left">
                              <paratext>_________________________________________</paratext>
                            </para>
                          </entry>
                        </row>
                        <row>
                          <entry valign="top">
                            <para align="left">
                              <paratext>POSITION:</paratext>
                            </para>
                          </entry>
                          <entry valign="top">
                            <para align="left">
                              <paratext>_________________________________________</paratext>
                            </para>
                          </entry>
                        </row>
                        <row>
                          <entry valign="top">
                            <para align="left">
                              <paratext>COMPANY:</paratext>
                            </para>
                          </entry>
                          <entry valign="top">
                            <para align="left">
                              <paratext>_________________________________________</paratext>
                            </para>
                          </entry>
                        </row>
                        <row>
                          <entry valign="top">
                            <para align="left">
                              <paratext>DATE:</paratext>
                            </para>
                          </entry>
                          <entry valign="top">
                            <para align="left">
                              <paratext>_________________________________________</paratext>
                            </para>
                          </entry>
                        </row>
                      </tbody>
                    </tgroup>
                  </table>
                </paratext>
              </para>
            </clause>
          </schedule>
          <schedule id="a138696">
            <identifier>Schedule 10</identifier>
            <head align="left" preservecase="true">
              <headtext>Deed of guarantee</headtext>
            </head>
          </schedule>
          <schedule id="a893025">
            <identifier>Schedule 11</identifier>
            <head align="left" preservecase="true">
              <headtext>Form of Tender</headtext>
            </head>
            <drafting.note id="a216456" jurisdiction="">
              <head align="left" preservecase="true">
                <headtext>Formalities: Electronic tendering system</headtext>
              </head>
              <division id="a000043" level="1">
                <para>
                  <paratext>The Authority may wish to exclude this document or incorporate it into the tendering portal or provide for Tenderers to indicate acceptance with a tick box or other device.</paratext>
                </para>
              </division>
            </drafting.note>
            <clause id="a000044">
              <para>
                <paratext>
                  <table frame="none" pgwide="1">
                    <tgroup cols="2">
                      <colspec colname="1" colnum="1" colwidth="30"/>
                      <colspec colname="2" colnum="2" colwidth="69"/>
                      <tbody>
                        <row>
                          <entry nameend="2" namest="1" valign="top">
                            <para align="center">
                              <paratext>
                                <bold>FORM OF TENDER: TENDER CERTIFICATE</bold>
                              </paratext>
                            </para>
                          </entry>
                        </row>
                        <row>
                          <entry nameend="2" namest="1" valign="top">
                            <para align="left">
                              <paratext>TO: [NAME OF AUTHORITY]</paratext>
                            </para>
                          </entry>
                        </row>
                        <row>
                          <entry nameend="2" namest="1" valign="top">
                            <para align="left">
                              <paratext>DATE: [DATE]</paratext>
                            </para>
                          </entry>
                        </row>
                        <row>
                          <entry nameend="2" namest="1" valign="top">
                            <para align="left">
                              <paratext>PROVISION OF: [TITLE OF CONTRACT]</paratext>
                            </para>
                          </entry>
                        </row>
                        <row>
                          <entry nameend="2" namest="1" valign="top">
                            <para align="left">
                              <paratext>REFERENCE NUMBER: [CONTRACT NOTICE REFERENCE NUMBER]</paratext>
                            </para>
                          </entry>
                        </row>
                        <row>
                          <entry nameend="2" namest="1" valign="top">
                            <para align="left">
                              <paratext>We [INSERT NAME[S]] the undersigned, having examined the ITT and all other schedules, do hereby offer to provide [NAME OF SERVICES] as specified in those documents and in accordance with the attached documentation to the Authority commencing [DATE] and continuing for the period specified in the Contract.</paratext>
                            </para>
                            <para align="left">
                              <paratext>If this offer is accepted, we will execute such documents in the form of the Contract within [NUMBER] days of being called on to do so.</paratext>
                            </para>
                            <para align="left">
                              <paratext>[We agree that before executing the Contract (and associated schedules) substantially in the form set out in the ITT, the formal acceptance of this Tender in writing by the Authority or such parts as may be specified, together with the contract documents attached hereto shall comprise a binding contract between the Authority and the [Tenderer]].</paratext>
                            </para>
                            <para align="left">
                              <paratext>
                                We further agree with the Authority in legally binding terms to comply with the provisions of confidentiality set out in 
                                <internal.reference refid="a400850">paragraph 3.9</internal.reference>
                                 of the ITT.
                              </paratext>
                            </para>
                            <para align="left">
                              <paratext>We further undertake and it shall be a condition of any Contract, that:</paratext>
                            </para>
                            <para align="left">
                              <paratext>
                                The amount or content of [my 
                                <bold>OR</bold>
                                 our] Tender has not been devised or calculated by agreement or arrangement with any person other than the Authority and that the content or amount of [my 
                                <bold>OR</bold>
                                 our] Tender has not been communicated to any person until after the closing date for the submission of Tenders and in any event not without the consent of the Authority.
                              </paratext>
                            </para>
                            <para align="left">
                              <paratext>We have not canvassed and will not, [before the evaluation process,] canvass or solicit any member or officer, employee or agent of the Authority or other contracting authority in connection with the award of the Contract and that no person employed by us has done or will do any such act.</paratext>
                            </para>
                            <para align="left">
                              <paratext>We have not offered, promised or given any person working for or engaged by the Authority a financial or other advantage as an inducement or reward for any improper performance of a function or activity relating to this procurement.</paratext>
                            </para>
                            <para align="left">
                              <paratext>We warrant that we have all requisite authority to sign this Tender and confirm that we have complied with all the requirements of the ITT.</paratext>
                            </para>
                          </entry>
                        </row>
                        <row>
                          <entry valign="top">
                            <para align="left">
                              <paratext>Signature</paratext>
                            </para>
                          </entry>
                          <entry valign="top">
                            <para align="left">
                              <paratext>_________________________________________</paratext>
                            </para>
                          </entry>
                        </row>
                        <row>
                          <entry valign="top">
                            <para align="left">
                              <paratext>Name and status</paratext>
                            </para>
                          </entry>
                          <entry valign="top">
                            <para align="left">
                              <paratext>_________________________________________</paratext>
                            </para>
                          </entry>
                        </row>
                        <row>
                          <entry valign="top">
                            <para align="left">
                              <paratext>Signature</paratext>
                            </para>
                          </entry>
                          <entry valign="top">
                            <para align="left">
                              <paratext>_________________________________________</paratext>
                            </para>
                          </entry>
                        </row>
                        <row>
                          <entry valign="top">
                            <para align="left">
                              <paratext>Name and status</paratext>
                            </para>
                          </entry>
                          <entry valign="top">
                            <para align="left">
                              <paratext>_________________________________________</paratext>
                            </para>
                          </entry>
                        </row>
                        <row>
                          <entry valign="top">
                            <para align="left">
                              <paratext>For and on behalf of</paratext>
                            </para>
                          </entry>
                          <entry valign="top">
                            <para align="left">
                              <paratext>[NAME OF COMPANY, PARTNERS OR CONSORTIUM]</paratext>
                            </para>
                          </entry>
                        </row>
                      </tbody>
                    </tgroup>
                  </table>
                </paratext>
              </para>
            </clause>
          </schedule>
        </disclosure.schedule>
      </body>
      <rev.history>
        <rev.item>
          <rev.title>Annual review</rev.title>
          <rev.date>20220620</rev.date>
          <rev.author>Practical Law Public Sector</rev.author>
          <rev.body>
            <division id="a000001" level="1">
              <para>
                <paratext>Annual review of this template completed</paratext>
              </para>
            </division>
          </rev.body>
        </rev.item>
      </rev.history>
    </standard.doc>
  </n-docbody>
</n-document>
</file>

<file path=customXml/item2.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dm:cachedDataManifest xmlns:cdm="http://schemas.microsoft.com/2004/VisualStudio/Tools/Applications/CachedDataManifest.xsd" cdm:revision="1"/>
</file>

<file path=customXml/item5.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566b4b2c-9bf2-4735-9528-79b7c8d70286">
      <Terms xmlns="http://schemas.microsoft.com/office/infopath/2007/PartnerControls"/>
    </lcf76f155ced4ddcb4097134ff3c332f>
    <_Flow_SignoffStatus xmlns="566b4b2c-9bf2-4735-9528-79b7c8d70286" xsi:nil="true"/>
    <TaxCatchAll xmlns="e1f2c065-6982-4339-8c92-3e8007af92e8" xsi:nil="true"/>
  </documentManagement>
</p:properties>
</file>

<file path=customXml/itemProps1.xml><?xml version="1.0" encoding="utf-8"?>
<ds:datastoreItem xmlns:ds="http://schemas.openxmlformats.org/officeDocument/2006/customXml" ds:itemID="{DDFAE056-3272-4CD6-9FC4-20D9502D709C}">
  <ds:schemaRefs>
    <ds:schemaRef ds:uri="http://www.w3.org/2001/XMLSchema"/>
  </ds:schemaRefs>
</ds:datastoreItem>
</file>

<file path=customXml/itemProps2.xml><?xml version="1.0" encoding="utf-8"?>
<ds:datastoreItem xmlns:ds="http://schemas.openxmlformats.org/officeDocument/2006/customXml" ds:itemID="{BD442842-C8DD-4A40-BF32-AB1FA25950AC}">
  <ds:schemaRefs>
    <ds:schemaRef ds:uri="http://schemas.microsoft.com/office/2006/customDocumentInformationPanel"/>
  </ds:schemaRefs>
</ds:datastoreItem>
</file>

<file path=customXml/itemProps3.xml><?xml version="1.0" encoding="utf-8"?>
<ds:datastoreItem xmlns:ds="http://schemas.openxmlformats.org/officeDocument/2006/customXml" ds:itemID="{0F13623A-C857-45CD-8FF5-738EECAE4D2B}">
  <ds:schemaRefs>
    <ds:schemaRef ds:uri="http://schemas.microsoft.com/sharepoint/v3/contenttype/forms"/>
  </ds:schemaRefs>
</ds:datastoreItem>
</file>

<file path=customXml/itemProps4.xml><?xml version="1.0" encoding="utf-8"?>
<ds:datastoreItem xmlns:ds="http://schemas.openxmlformats.org/officeDocument/2006/customXml" ds:itemID="{A2DC01D0-0D15-41DA-BEE5-B0F5E8C7F460}">
  <ds:schemaRefs>
    <ds:schemaRef ds:uri="http://schemas.microsoft.com/2004/VisualStudio/Tools/Applications/CachedDataManifest.xsd"/>
  </ds:schemaRefs>
</ds:datastoreItem>
</file>

<file path=customXml/itemProps5.xml><?xml version="1.0" encoding="utf-8"?>
<ds:datastoreItem xmlns:ds="http://schemas.openxmlformats.org/officeDocument/2006/customXml" ds:itemID="{F1EB7E33-C700-4B03-94B3-A039FB6AB2F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6.xml><?xml version="1.0" encoding="utf-8"?>
<ds:datastoreItem xmlns:ds="http://schemas.openxmlformats.org/officeDocument/2006/customXml" ds:itemID="{E6D1746A-F7CB-4B88-B1FB-ECB3D5A4D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b4b2c-9bf2-4735-9528-79b7c8d70286"/>
    <ds:schemaRef ds:uri="e1f2c065-6982-4339-8c92-3e8007af9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3C4EB58-810A-4190-BF35-FA19D5322E5C}">
  <ds:schemaRefs>
    <ds:schemaRef ds:uri="http://schemas.microsoft.com/office/2006/metadata/properties"/>
    <ds:schemaRef ds:uri="http://schemas.microsoft.com/office/infopath/2007/PartnerControls"/>
    <ds:schemaRef ds:uri="566b4b2c-9bf2-4735-9528-79b7c8d70286"/>
    <ds:schemaRef ds:uri="e1f2c065-6982-4339-8c92-3e8007af92e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8101</Words>
  <Characters>46826</Characters>
  <Application>Microsoft Office Word</Application>
  <DocSecurity>0</DocSecurity>
  <Lines>1510</Lines>
  <Paragraphs>678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 Campfield</dc:creator>
  <cp:keywords/>
  <cp:lastModifiedBy>Trevor Armstrong</cp:lastModifiedBy>
  <cp:revision>2</cp:revision>
  <dcterms:created xsi:type="dcterms:W3CDTF">2025-09-29T09:59:00Z</dcterms:created>
  <dcterms:modified xsi:type="dcterms:W3CDTF">2025-09-29T09:59:00Z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0x01010094485152AA850948AE53E4C985A0AF10</vt:lpwstr>
  </property>
  <property fmtid="{D5CDD505-2E9C-101B-9397-08002B2CF9AE}" pid="3" name="MediaServiceImageTags">
    <vt:lpwstr/>
  </property>
  <property fmtid="{D5CDD505-2E9C-101B-9397-08002B2CF9AE}" pid="4" name="docLang">
    <vt:lpwstr>en</vt:lpwstr>
  </property>
</Properties>
</file>